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 w:line="240" w:lineRule="auto"/>
        <w:ind w:firstLine="709" w:left="0" w:right="0"/>
        <w:jc w:val="lef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Актуальные изменения уголовно-исполнительного законодательства</w:t>
      </w:r>
    </w:p>
    <w:p w14:paraId="0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Федеральными законами от 28.12.2024 №№ 508-ФЗ и 509-ФЗ внесены изменения в Уголовно-исполнительный кодекс Российской Федерации (далее – УИК РФ).</w:t>
      </w:r>
    </w:p>
    <w:p w14:paraId="0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одной из поправок, из части 2 статьи 2 УИК РФ исключены общественные объединения, порядок участия которых в исправлении осужденных ранее устанавливался уголовно-исполнительным законодательством Российской Федерации. Также общественные объединения исключены из состава попечительских советов при исправительных учреждениях (новая редакция части 4 статьи 23 УИК Р).</w:t>
      </w:r>
    </w:p>
    <w:p w14:paraId="0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Кроме того, изменено наименование статьи 142 УИК РФ, которая теперь вместо «об участии общественных объединений» поименована как «участие родительских комитетов в работе воспитательных колоний».</w:t>
      </w:r>
    </w:p>
    <w:p w14:paraId="0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силу другой поправки на основании части 13 статьи 16 УИК РФ уголовно-исполнительные инспекции осуществляют контроль за применением принудительных мер медицинского характера, назначенных в соответствии с частью 2 статьи 102 Уголовного кодекса Российской Федерации,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0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вступают в силу 27.06.2025.</w:t>
      </w: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7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8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3" w:type="paragraph">
    <w:name w:val="List Paragraph"/>
    <w:basedOn w:val="Style_6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6"/>
    <w:link w:val="Style_1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6_ch"/>
    <w:link w:val="Style_18"/>
    <w:rPr>
      <w:rFonts w:ascii="Segoe UI" w:hAnsi="Segoe UI"/>
      <w:sz w:val="1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2025-06-11T01:23:03Z</dcterms:modified>
</cp:coreProperties>
</file>