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spacing w:after="0" w:before="0"/>
        <w:ind w:firstLine="680" w:left="0" w:right="0"/>
        <w:jc w:val="left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Объекты культурного наследия разрешено передавать в концессию</w:t>
      </w:r>
    </w:p>
    <w:p w14:paraId="0A000000">
      <w:pPr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Федеральным законом от 30.11.2024 № 444-ФЗ внесены изменения в Федеральный закон «О концессионных соглашениях», который регулирует отношения, возникающие в связи с подготовкой, заключением, исполнением, изменением и прекращением концессионных соглашений, устанавливает гарантии прав и законных интересов сторон концессионного соглашения.</w:t>
      </w:r>
    </w:p>
    <w:p w14:paraId="0B000000">
      <w:pPr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При этом концессионное соглашение - это договор, в соответствии с которым концессионер за свой счет создает и (или) реконструирует, а также в дальнейшем использует в своей деятельности определенное соглашением недвижимое имущество.</w:t>
      </w:r>
    </w:p>
    <w:p w14:paraId="0C000000">
      <w:pPr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Поправками установлены особенности заключения и исполнения концессионных соглашений в отношении объектов культурного наследия, находящихся в неудовлетворительном состоянии.</w:t>
      </w:r>
    </w:p>
    <w:p w14:paraId="0D000000">
      <w:pPr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Также определено, что объектами концессионного соглашения не могут быть мемориальные квартиры, мавзолеи, произведения монументального искусства, а также имущество религиозного назначения.</w:t>
      </w:r>
    </w:p>
    <w:p w14:paraId="0E000000">
      <w:pPr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Запрещено изменение целевого назначения объекта образования, культуры, спорта, объекта, используемого для организации отдыха граждан и туризма, иного объекта социально-культурного назначения, входящего в состав объекта культурного наследия, находящегося в неудовлетворительном состоянии, являющегося объектом концессионного соглашения.</w:t>
      </w:r>
    </w:p>
    <w:p w14:paraId="0F000000">
      <w:pPr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Кроме того, приводятся существенные условия, которые должно содержать концессионное соглашение, и устанавливается, что оно может быть расторгнуто на основании решения суда в случае,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наследия.</w:t>
      </w:r>
    </w:p>
    <w:p w14:paraId="10000000">
      <w:pPr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При выполнении всех предусмотренных законом условий концессионер получит преимущественное право на выкуп объекта концессионного соглашения.</w:t>
      </w:r>
    </w:p>
    <w:p w14:paraId="11000000">
      <w:pPr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Изменения вступили в силу 31.12.2024.</w:t>
      </w:r>
    </w:p>
    <w:p w14:paraId="12000000">
      <w:pPr>
        <w:widowControl w:val="1"/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</w:p>
    <w:p w14:paraId="13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4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5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6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9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A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3" w:type="paragraph">
    <w:name w:val="toc 3"/>
    <w:next w:val="Style_6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4" w:type="paragraph">
    <w:name w:val="heading 5"/>
    <w:next w:val="Style_6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6"/>
    <w:link w:val="Style_21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6_ch"/>
    <w:link w:val="Style_21"/>
    <w:rPr>
      <w:rFonts w:ascii="Segoe UI" w:hAnsi="Segoe UI"/>
      <w:sz w:val="18"/>
    </w:rPr>
  </w:style>
  <w:style w:styleId="Style_22" w:type="paragraph">
    <w:name w:val="toc 8"/>
    <w:next w:val="Style_6"/>
    <w:link w:val="Style_22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List Paragraph"/>
    <w:basedOn w:val="Style_6"/>
    <w:link w:val="Style_23_ch"/>
    <w:pPr>
      <w:widowControl w:val="1"/>
      <w:ind w:left="720"/>
      <w:contextualSpacing w:val="1"/>
    </w:pPr>
  </w:style>
  <w:style w:styleId="Style_23_ch" w:type="character">
    <w:name w:val="List Paragraph"/>
    <w:basedOn w:val="Style_6_ch"/>
    <w:link w:val="Style_23"/>
  </w:style>
  <w:style w:styleId="Style_24" w:type="paragraph">
    <w:name w:val="toc 5"/>
    <w:next w:val="Style_6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2025-06-11T02:40:16Z</dcterms:modified>
</cp:coreProperties>
</file>