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/>
        <w:ind w:hanging="28" w:left="709" w:right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Принят новый закон, регулирующий частную охранную деятельность</w:t>
      </w:r>
    </w:p>
    <w:p w14:paraId="0A000000">
      <w:pPr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 01.09.2026 вступает в силу Федеральный закон от 30.11.2024 №427-ФЗ «О частной охранной деятельности» (далее - Закон).</w:t>
      </w:r>
    </w:p>
    <w:p w14:paraId="0B000000">
      <w:pPr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Документ определяет правовую основу частной охранной деятельности, ее цели и принципы, виды охранных услуг, участников частной охранной деятельности и их полномочия, устанавливает гарантии правовой и социальной защиты работников частной охранной организации, порядок осуществления федерального государственного контроля (надзора) за соблюдением законодательства в области частной охранной деятельности.</w:t>
      </w:r>
    </w:p>
    <w:p w14:paraId="0C000000">
      <w:pPr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Предусмотрено,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требованиям, действовавшим при ее предоставлении, либо при внесении изменений в реестр лицензий на осуществление частной охранной деятельности.</w:t>
      </w:r>
    </w:p>
    <w:p w14:paraId="0D000000">
      <w:pPr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Внесение изменений в реестр лицензий, которые предоставлены до дня вступления Закона в силу, осуществляется при условии соответствия лицензиата новым требованиям.</w:t>
      </w:r>
    </w:p>
    <w:p w14:paraId="0E000000">
      <w:pPr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Частной охранной организации разрешается оказывать охранные услуги, указанные в предоставленной ей лицензии, до истечения одного года со дня вступления в силу Закона при наличии договора, заключенного с заказчиком до дня вступления его в силу.</w:t>
      </w:r>
    </w:p>
    <w:p w14:paraId="0F000000">
      <w:pPr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 этом в течение одного года после дня вступления в силу Закона руководители частных охранных организаций, руководители филиалов частных охранных организаций, а также лица, исполняющие их обязанности, должны пройти обучение по дополнительным профессиональным программам - программам повышения квалификации руководителей частных охранных организаций в части знания положений Закона и изданных для его реализации нормативных правовых актов Российской Федерации.</w:t>
      </w:r>
    </w:p>
    <w:p w14:paraId="10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</w:p>
    <w:p w14:paraId="1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2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3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8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2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6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6"/>
    <w:link w:val="Style_25_ch"/>
    <w:pPr>
      <w:widowControl w:val="1"/>
      <w:ind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2025-06-11T01:37:25Z</dcterms:modified>
</cp:coreProperties>
</file>