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5E29A9">
        <w:rPr>
          <w:rFonts w:ascii="Times New Roman" w:hAnsi="Times New Roman"/>
          <w:b/>
          <w:color w:val="000000" w:themeColor="text1"/>
          <w:sz w:val="20"/>
        </w:rPr>
        <w:t>14</w:t>
      </w:r>
      <w:r w:rsidR="0045425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B1544">
        <w:rPr>
          <w:rFonts w:ascii="Times New Roman" w:hAnsi="Times New Roman"/>
          <w:b/>
          <w:color w:val="000000" w:themeColor="text1"/>
          <w:sz w:val="20"/>
        </w:rPr>
        <w:t>октября</w:t>
      </w:r>
      <w:r w:rsidR="007151B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CC379A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5B1544" w:rsidRDefault="005B1544" w:rsidP="005B1544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5E29A9" w:rsidRPr="00804AFE" w:rsidRDefault="005E29A9" w:rsidP="005E29A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04AFE">
        <w:rPr>
          <w:rFonts w:ascii="Times New Roman" w:hAnsi="Times New Roman"/>
          <w:b/>
          <w:sz w:val="26"/>
          <w:szCs w:val="26"/>
        </w:rPr>
        <w:t>Что делать, если налоговое уведомление не получено</w:t>
      </w:r>
    </w:p>
    <w:p w:rsidR="005E29A9" w:rsidRDefault="005E29A9" w:rsidP="005E29A9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5E29A9" w:rsidRPr="00804AFE" w:rsidRDefault="005E29A9" w:rsidP="005E29A9">
      <w:pPr>
        <w:autoSpaceDE w:val="0"/>
        <w:autoSpaceDN w:val="0"/>
        <w:adjustRightInd w:val="0"/>
        <w:spacing w:before="120"/>
        <w:jc w:val="both"/>
        <w:rPr>
          <w:rFonts w:ascii="Times New Roman" w:eastAsiaTheme="minorHAnsi" w:hAnsi="Times New Roman"/>
          <w:sz w:val="26"/>
          <w:szCs w:val="26"/>
        </w:rPr>
      </w:pPr>
      <w:r w:rsidRPr="00804AFE">
        <w:rPr>
          <w:rFonts w:ascii="Times New Roman" w:eastAsiaTheme="minorHAnsi" w:hAnsi="Times New Roman"/>
          <w:sz w:val="26"/>
          <w:szCs w:val="26"/>
        </w:rPr>
        <w:t xml:space="preserve">Налоговые уведомления </w:t>
      </w:r>
      <w:r>
        <w:rPr>
          <w:rFonts w:ascii="Times New Roman" w:eastAsiaTheme="minorHAnsi" w:hAnsi="Times New Roman"/>
          <w:sz w:val="26"/>
          <w:szCs w:val="26"/>
        </w:rPr>
        <w:t xml:space="preserve">на уплату имущественных налогов и НДФЛ размещаются в </w:t>
      </w:r>
      <w:r w:rsidRPr="00804AFE">
        <w:rPr>
          <w:rFonts w:ascii="Times New Roman" w:eastAsiaTheme="minorHAnsi" w:hAnsi="Times New Roman"/>
          <w:sz w:val="26"/>
          <w:szCs w:val="26"/>
          <w:u w:val="single"/>
        </w:rPr>
        <w:t>Личном кабинете налогоплательщика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, </w:t>
      </w:r>
      <w:r w:rsidRPr="00804AFE">
        <w:rPr>
          <w:rFonts w:ascii="Times New Roman" w:eastAsiaTheme="minorHAnsi" w:hAnsi="Times New Roman"/>
          <w:sz w:val="26"/>
          <w:szCs w:val="26"/>
          <w:u w:val="single"/>
        </w:rPr>
        <w:t xml:space="preserve">портале </w:t>
      </w:r>
      <w:proofErr w:type="spellStart"/>
      <w:r w:rsidRPr="00804AFE">
        <w:rPr>
          <w:rFonts w:ascii="Times New Roman" w:eastAsiaTheme="minorHAnsi" w:hAnsi="Times New Roman"/>
          <w:sz w:val="26"/>
          <w:szCs w:val="26"/>
          <w:u w:val="single"/>
        </w:rPr>
        <w:t>госуслуг</w:t>
      </w:r>
      <w:proofErr w:type="spellEnd"/>
      <w:r w:rsidRPr="00804AF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или направляются Почтой России не </w:t>
      </w:r>
      <w:r w:rsidRPr="00804AFE">
        <w:rPr>
          <w:rFonts w:ascii="Times New Roman" w:eastAsiaTheme="minorHAnsi" w:hAnsi="Times New Roman"/>
          <w:sz w:val="26"/>
          <w:szCs w:val="26"/>
        </w:rPr>
        <w:t>позднее 30 дней до наступления срока уплаты налогов</w:t>
      </w:r>
      <w:r>
        <w:rPr>
          <w:rFonts w:ascii="Times New Roman" w:eastAsiaTheme="minorHAnsi" w:hAnsi="Times New Roman"/>
          <w:sz w:val="26"/>
          <w:szCs w:val="26"/>
        </w:rPr>
        <w:t xml:space="preserve">. В текущем году срок уплаты истекает 1 декабря, а это значит, что уведомления должны быть получены до 1 ноября 2025 года. 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5E29A9" w:rsidRPr="0093348E" w:rsidRDefault="005E29A9" w:rsidP="005E29A9">
      <w:pPr>
        <w:autoSpaceDE w:val="0"/>
        <w:autoSpaceDN w:val="0"/>
        <w:adjustRightInd w:val="0"/>
        <w:spacing w:before="12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Однако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,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существуют ситуации, п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ри </w:t>
      </w:r>
      <w:r>
        <w:rPr>
          <w:rFonts w:ascii="Times New Roman" w:eastAsiaTheme="minorHAnsi" w:hAnsi="Times New Roman"/>
          <w:sz w:val="26"/>
          <w:szCs w:val="26"/>
        </w:rPr>
        <w:t>ко</w:t>
      </w:r>
      <w:bookmarkStart w:id="0" w:name="_GoBack"/>
      <w:bookmarkEnd w:id="0"/>
      <w:r>
        <w:rPr>
          <w:rFonts w:ascii="Times New Roman" w:eastAsiaTheme="minorHAnsi" w:hAnsi="Times New Roman"/>
          <w:sz w:val="26"/>
          <w:szCs w:val="26"/>
        </w:rPr>
        <w:t>торых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 налоговые уведомления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804AFE">
        <w:rPr>
          <w:rFonts w:ascii="Times New Roman" w:eastAsiaTheme="minorHAnsi" w:hAnsi="Times New Roman"/>
          <w:sz w:val="26"/>
          <w:szCs w:val="26"/>
        </w:rPr>
        <w:t>не направляются</w:t>
      </w:r>
      <w:r>
        <w:rPr>
          <w:rFonts w:ascii="Times New Roman" w:eastAsiaTheme="minorHAnsi" w:hAnsi="Times New Roman"/>
          <w:sz w:val="26"/>
          <w:szCs w:val="26"/>
        </w:rPr>
        <w:t xml:space="preserve">. Например, </w:t>
      </w:r>
      <w:r w:rsidRPr="0093348E">
        <w:rPr>
          <w:rFonts w:ascii="Times New Roman" w:hAnsi="Times New Roman"/>
          <w:sz w:val="26"/>
          <w:szCs w:val="26"/>
        </w:rPr>
        <w:t>при наличии налоговой льготы, налогового вычета, иных установленных законодательством оснований, полностью освобождающих владельца объекта н</w:t>
      </w:r>
      <w:r>
        <w:rPr>
          <w:rFonts w:ascii="Times New Roman" w:hAnsi="Times New Roman"/>
          <w:sz w:val="26"/>
          <w:szCs w:val="26"/>
        </w:rPr>
        <w:t>алогообложения от уплаты налога. Также налогоплательщик не получит уведомление, если общая сумма налогов состави</w:t>
      </w:r>
      <w:r w:rsidRPr="0093348E">
        <w:rPr>
          <w:rFonts w:ascii="Times New Roman" w:hAnsi="Times New Roman"/>
          <w:sz w:val="26"/>
          <w:szCs w:val="26"/>
        </w:rPr>
        <w:t>т менее 300 рублей.</w:t>
      </w:r>
    </w:p>
    <w:p w:rsidR="005E29A9" w:rsidRPr="0093348E" w:rsidRDefault="005E29A9" w:rsidP="005E29A9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 отметить, что уведомления на бумаге  не стоит ждать</w:t>
      </w:r>
      <w:r w:rsidRPr="009334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налогоплательщикам - пользователя</w:t>
      </w:r>
      <w:r w:rsidRPr="0093348E">
        <w:rPr>
          <w:rFonts w:ascii="Times New Roman" w:hAnsi="Times New Roman"/>
          <w:sz w:val="26"/>
          <w:szCs w:val="26"/>
        </w:rPr>
        <w:t xml:space="preserve">м </w:t>
      </w:r>
      <w:r w:rsidRPr="0093348E">
        <w:rPr>
          <w:rFonts w:ascii="Times New Roman" w:hAnsi="Times New Roman"/>
          <w:sz w:val="26"/>
          <w:szCs w:val="26"/>
          <w:u w:val="single"/>
        </w:rPr>
        <w:t>Личного кабинета</w:t>
      </w:r>
      <w:r w:rsidRPr="0093348E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 xml:space="preserve">тем, кто </w:t>
      </w:r>
      <w:r w:rsidRPr="0093348E">
        <w:rPr>
          <w:rFonts w:ascii="Times New Roman" w:hAnsi="Times New Roman"/>
          <w:sz w:val="26"/>
          <w:szCs w:val="26"/>
        </w:rPr>
        <w:t xml:space="preserve">направил в налоговый орган </w:t>
      </w:r>
      <w:r>
        <w:rPr>
          <w:rFonts w:ascii="Times New Roman" w:hAnsi="Times New Roman"/>
          <w:sz w:val="26"/>
          <w:szCs w:val="26"/>
        </w:rPr>
        <w:t>согласие</w:t>
      </w:r>
      <w:r w:rsidRPr="0093348E">
        <w:rPr>
          <w:rFonts w:ascii="Times New Roman" w:hAnsi="Times New Roman"/>
          <w:sz w:val="26"/>
          <w:szCs w:val="26"/>
        </w:rPr>
        <w:t xml:space="preserve"> о необхо</w:t>
      </w:r>
      <w:r>
        <w:rPr>
          <w:rFonts w:ascii="Times New Roman" w:hAnsi="Times New Roman"/>
          <w:sz w:val="26"/>
          <w:szCs w:val="26"/>
        </w:rPr>
        <w:t xml:space="preserve">димости получения документов </w:t>
      </w:r>
      <w:r w:rsidRPr="0093348E">
        <w:rPr>
          <w:rFonts w:ascii="Times New Roman" w:hAnsi="Times New Roman"/>
          <w:sz w:val="26"/>
          <w:szCs w:val="26"/>
        </w:rPr>
        <w:t xml:space="preserve">в электронной форме через </w:t>
      </w:r>
      <w:proofErr w:type="spellStart"/>
      <w:r>
        <w:rPr>
          <w:rFonts w:ascii="Times New Roman" w:hAnsi="Times New Roman"/>
          <w:sz w:val="26"/>
          <w:szCs w:val="26"/>
        </w:rPr>
        <w:t>госуслуги</w:t>
      </w:r>
      <w:proofErr w:type="spellEnd"/>
      <w:r w:rsidRPr="0093348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этих случаях уведомления не дублируются и выгружаются только в электронном виде.</w:t>
      </w:r>
    </w:p>
    <w:p w:rsidR="005E29A9" w:rsidRDefault="005E29A9" w:rsidP="005E29A9">
      <w:pPr>
        <w:autoSpaceDE w:val="0"/>
        <w:autoSpaceDN w:val="0"/>
        <w:adjustRightInd w:val="0"/>
        <w:spacing w:before="120"/>
        <w:jc w:val="both"/>
        <w:rPr>
          <w:rFonts w:ascii="Times New Roman" w:eastAsiaTheme="minorHAnsi" w:hAnsi="Times New Roman"/>
          <w:sz w:val="26"/>
          <w:szCs w:val="26"/>
        </w:rPr>
      </w:pPr>
      <w:r w:rsidRPr="00804AFE">
        <w:rPr>
          <w:rFonts w:ascii="Times New Roman" w:eastAsiaTheme="minorHAnsi" w:hAnsi="Times New Roman"/>
          <w:sz w:val="26"/>
          <w:szCs w:val="26"/>
        </w:rPr>
        <w:t>В иных случаях при неполучении до 1 ноября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налогового уведомления </w:t>
      </w:r>
      <w:r>
        <w:rPr>
          <w:rFonts w:ascii="Times New Roman" w:eastAsiaTheme="minorHAnsi" w:hAnsi="Times New Roman"/>
          <w:sz w:val="26"/>
          <w:szCs w:val="26"/>
        </w:rPr>
        <w:t>за 2024 год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 налогоплательщику целесообразно обратиться в налоговый орган</w:t>
      </w:r>
      <w:r>
        <w:rPr>
          <w:rFonts w:ascii="Times New Roman" w:eastAsiaTheme="minorHAnsi" w:hAnsi="Times New Roman"/>
          <w:sz w:val="26"/>
          <w:szCs w:val="26"/>
        </w:rPr>
        <w:t xml:space="preserve"> или МФЦ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за дубликатом 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либо направить </w:t>
      </w:r>
      <w:r>
        <w:rPr>
          <w:rFonts w:ascii="Times New Roman" w:eastAsiaTheme="minorHAnsi" w:hAnsi="Times New Roman"/>
          <w:sz w:val="26"/>
          <w:szCs w:val="26"/>
        </w:rPr>
        <w:t>обращение</w:t>
      </w:r>
      <w:r w:rsidRPr="00804AFE">
        <w:rPr>
          <w:rFonts w:ascii="Times New Roman" w:eastAsiaTheme="minorHAnsi" w:hAnsi="Times New Roman"/>
          <w:sz w:val="26"/>
          <w:szCs w:val="26"/>
        </w:rPr>
        <w:t xml:space="preserve"> через </w:t>
      </w:r>
      <w:r>
        <w:rPr>
          <w:rFonts w:ascii="Times New Roman" w:eastAsiaTheme="minorHAnsi" w:hAnsi="Times New Roman"/>
          <w:sz w:val="26"/>
          <w:szCs w:val="26"/>
        </w:rPr>
        <w:t>Личный кабинет налогоплательщика.</w:t>
      </w:r>
    </w:p>
    <w:p w:rsidR="00D65BDE" w:rsidRPr="00E5766C" w:rsidRDefault="005E29A9" w:rsidP="005E29A9">
      <w:pPr>
        <w:jc w:val="both"/>
        <w:rPr>
          <w:rFonts w:ascii="Times New Roman" w:hAnsi="Times New Roman"/>
          <w:sz w:val="26"/>
          <w:szCs w:val="26"/>
        </w:rPr>
      </w:pPr>
      <w:r w:rsidRPr="0093348E">
        <w:rPr>
          <w:rFonts w:ascii="Times New Roman" w:eastAsiaTheme="minorHAnsi" w:hAnsi="Times New Roman"/>
          <w:sz w:val="26"/>
          <w:szCs w:val="26"/>
        </w:rPr>
        <w:t>Напоминаем, 23 и 24 октября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Желающие смогут провести сверку по имуществу, узнать, есть ли у них право на налоговую льготу и при необходимости заполнить заявление на ее предоставление, а также внести поправки в случае обнаружения в налоговом уведомлении некоррект</w:t>
      </w:r>
      <w:r>
        <w:rPr>
          <w:rFonts w:ascii="Times New Roman" w:eastAsiaTheme="minorHAnsi" w:hAnsi="Times New Roman"/>
          <w:sz w:val="26"/>
          <w:szCs w:val="26"/>
        </w:rPr>
        <w:t>ных данных.</w:t>
      </w:r>
    </w:p>
    <w:sectPr w:rsidR="00D65BDE" w:rsidRPr="00E5766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0"/>
  </w:num>
  <w:num w:numId="5">
    <w:abstractNumId w:val="7"/>
  </w:num>
  <w:num w:numId="6">
    <w:abstractNumId w:val="23"/>
  </w:num>
  <w:num w:numId="7">
    <w:abstractNumId w:val="18"/>
  </w:num>
  <w:num w:numId="8">
    <w:abstractNumId w:val="13"/>
  </w:num>
  <w:num w:numId="9">
    <w:abstractNumId w:val="22"/>
  </w:num>
  <w:num w:numId="10">
    <w:abstractNumId w:val="30"/>
  </w:num>
  <w:num w:numId="11">
    <w:abstractNumId w:val="26"/>
  </w:num>
  <w:num w:numId="12">
    <w:abstractNumId w:val="16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1"/>
  </w:num>
  <w:num w:numId="21">
    <w:abstractNumId w:val="20"/>
  </w:num>
  <w:num w:numId="22">
    <w:abstractNumId w:val="9"/>
  </w:num>
  <w:num w:numId="23">
    <w:abstractNumId w:val="14"/>
  </w:num>
  <w:num w:numId="24">
    <w:abstractNumId w:val="6"/>
  </w:num>
  <w:num w:numId="25">
    <w:abstractNumId w:val="28"/>
  </w:num>
  <w:num w:numId="26">
    <w:abstractNumId w:val="24"/>
  </w:num>
  <w:num w:numId="27">
    <w:abstractNumId w:val="15"/>
  </w:num>
  <w:num w:numId="28">
    <w:abstractNumId w:val="17"/>
  </w:num>
  <w:num w:numId="29">
    <w:abstractNumId w:val="10"/>
  </w:num>
  <w:num w:numId="30">
    <w:abstractNumId w:val="2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670B-2BB2-460A-8F81-494AA827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171</cp:revision>
  <dcterms:created xsi:type="dcterms:W3CDTF">2020-12-15T05:32:00Z</dcterms:created>
  <dcterms:modified xsi:type="dcterms:W3CDTF">2025-10-14T06:28:00Z</dcterms:modified>
</cp:coreProperties>
</file>