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8F9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E4D6BFE">
      <w:pPr>
        <w:spacing w:after="0" w:line="240" w:lineRule="auto"/>
        <w:jc w:val="center"/>
        <w:rPr>
          <w:rFonts w:ascii="Times New Roman" w:hAnsi="Times New Roman" w:eastAsiaTheme="minorHAnsi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eastAsiaTheme="minorHAnsi"/>
          <w:b/>
          <w:sz w:val="26"/>
          <w:szCs w:val="26"/>
        </w:rPr>
        <w:t>27 и 28 ноября пройдут Дни открытых дверей в Забайкалье</w:t>
      </w:r>
    </w:p>
    <w:p w14:paraId="46B46E35">
      <w:pPr>
        <w:jc w:val="both"/>
        <w:rPr>
          <w:rFonts w:ascii="Times New Roman" w:hAnsi="Times New Roman"/>
          <w:sz w:val="26"/>
          <w:szCs w:val="26"/>
        </w:rPr>
      </w:pPr>
    </w:p>
    <w:p w14:paraId="2A24920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 и 28 ноября во всех обособленных подразделениях Управления Федеральной налоговой службы по Забайкальскому краю пройдут Дни открытых дверей для налогоплательщиков – физических лиц. Акция приурочена к проходящей кампании по уплате имущественных налогов и НДФЛ за 2024 год. </w:t>
      </w:r>
    </w:p>
    <w:p w14:paraId="331DF71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срока своевременной уплаты налогов остается все меньше времени: 1 декабря для физических лиц наступит крайний срок уплаты налога на имущество, транспортного и земельного налогов, а также НДФЛ, неудержанного налоговым агентом или полученного по процентам по вкладам в банках. Если не заплатить налоги до 1 декабря включительно, то со 2 декабря начисления приобретут статус задолженности, на которую начнут начисляться пени в размере 1/300 от ключевой ставки рефинансирования. </w:t>
      </w:r>
    </w:p>
    <w:p w14:paraId="36AFEFA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0658F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Напомним, налоги необходимо своевременно уплатить не только за себя, но и за своих несовершеннолетних детей: начисления не включаются в уведомления родителей. </w:t>
      </w:r>
    </w:p>
    <w:p w14:paraId="26CCB67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дни акции в каждом обособленном подразделении для налогоплательщиков будут работать пункты по урегулированию задолженности.</w:t>
      </w:r>
    </w:p>
    <w:p w14:paraId="259EDBD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80C6A2">
      <w:pPr>
        <w:spacing w:after="0"/>
        <w:jc w:val="both"/>
        <w:rPr>
          <w:rStyle w:val="11"/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пройдет в операционных залах по следующим адресам:</w:t>
      </w:r>
    </w:p>
    <w:p w14:paraId="621729FE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Чита, ул. Анохина, 63 (вход с ул. Амурской);</w:t>
      </w:r>
    </w:p>
    <w:p w14:paraId="0374EEC0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п. Агинское, ул. Комсомольская, 24Б;</w:t>
      </w:r>
    </w:p>
    <w:p w14:paraId="579B36AA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Шилка, ул. Толстого, 111;</w:t>
      </w:r>
    </w:p>
    <w:p w14:paraId="552AD9AF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Краснокаменск, пр. Строителей, 9;</w:t>
      </w:r>
    </w:p>
    <w:p w14:paraId="4F4E25B9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Хилок, ул. Ленина, 39;</w:t>
      </w:r>
    </w:p>
    <w:p w14:paraId="0DCEF595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п. Забайкальск, ул. Красноармейская, 16;</w:t>
      </w:r>
    </w:p>
    <w:p w14:paraId="329DA373">
      <w:pPr>
        <w:pStyle w:val="4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Нерчинск, ул. Достовалова, 9.</w:t>
      </w:r>
    </w:p>
    <w:p w14:paraId="449BB2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AB0003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Дни открытых дверей – традиционное масштабное мероприятие налоговой службы, в ходе которого каждый желающий может получить консультацию по особенностям налогообложения имущества в конкретном муниципальном образовании, разобраться в ситуациях, связанных с уплатой налогов. Желающие смогут провести сверку по имуществу, принадлежащему им на праве собственности, узнать, есть ли у них право на налоговую льготу и при необходимости заполнить заявление на ее предоставление, а также внести поправки в случае обнаружения в налоговом уведомлении некорректных данных. Кроме того, сотрудники помогут произвести уплату имущественных налогов с помощью смартфона, не выходя из налогового органа, подробно расскажут о работе онлайн-сервисов ФНС России, к которым будет организован доступ через интернет. Также каждый посетитель сможет зарегистрироваться в </w:t>
      </w:r>
      <w:r>
        <w:rPr>
          <w:rFonts w:ascii="Times New Roman" w:hAnsi="Times New Roman"/>
          <w:sz w:val="26"/>
          <w:szCs w:val="26"/>
          <w:u w:val="single"/>
        </w:rPr>
        <w:t>«Личном кабинете налогоплательщика для физических лиц»</w:t>
      </w:r>
      <w:r>
        <w:rPr>
          <w:rFonts w:ascii="Times New Roman" w:hAnsi="Times New Roman"/>
          <w:sz w:val="26"/>
          <w:szCs w:val="26"/>
        </w:rPr>
        <w:t xml:space="preserve"> и подать согласие на смс-информирование о задолженности.</w:t>
      </w:r>
    </w:p>
    <w:p w14:paraId="7456C89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A90427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удобства забайкальцев в Дни открытых дверей время работы подразделений налоговой службы  продлено до 20:00.</w:t>
      </w:r>
    </w:p>
    <w:p w14:paraId="058F41C3">
      <w:pPr>
        <w:pStyle w:val="4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72E32"/>
    <w:multiLevelType w:val="multilevel"/>
    <w:tmpl w:val="6D872E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  <w:rsid w:val="260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99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qFormat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qFormat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qFormat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qFormat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qFormat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qFormat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qFormat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qFormat/>
    <w:uiPriority w:val="0"/>
    <w:rPr>
      <w:rFonts w:ascii="Calibri" w:hAnsi="Calibri"/>
    </w:rPr>
  </w:style>
  <w:style w:type="paragraph" w:customStyle="1" w:styleId="27">
    <w:name w:val="Обычный11"/>
    <w:link w:val="28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qFormat/>
    <w:uiPriority w:val="0"/>
  </w:style>
  <w:style w:type="character" w:customStyle="1" w:styleId="30">
    <w:name w:val="Оглавление 4 Знак"/>
    <w:link w:val="21"/>
    <w:qFormat/>
    <w:uiPriority w:val="0"/>
  </w:style>
  <w:style w:type="character" w:customStyle="1" w:styleId="31">
    <w:name w:val="Оглавление 6 Знак"/>
    <w:link w:val="18"/>
    <w:qFormat/>
    <w:uiPriority w:val="0"/>
  </w:style>
  <w:style w:type="character" w:customStyle="1" w:styleId="32">
    <w:name w:val="Оглавление 7 Знак"/>
    <w:link w:val="16"/>
    <w:qFormat/>
    <w:uiPriority w:val="0"/>
  </w:style>
  <w:style w:type="paragraph" w:customStyle="1" w:styleId="33">
    <w:name w:val="ConsPlusTitle"/>
    <w:link w:val="34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qFormat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qFormat/>
    <w:uiPriority w:val="0"/>
  </w:style>
  <w:style w:type="paragraph" w:customStyle="1" w:styleId="40">
    <w:name w:val="Pa0"/>
    <w:basedOn w:val="1"/>
    <w:link w:val="41"/>
    <w:qFormat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qFormat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qFormat/>
    <w:uiPriority w:val="0"/>
    <w:rPr>
      <w:rFonts w:ascii="Calibri" w:hAnsi="Calibri"/>
    </w:rPr>
  </w:style>
  <w:style w:type="paragraph" w:customStyle="1" w:styleId="46">
    <w:name w:val="Footnote"/>
    <w:link w:val="47"/>
    <w:qFormat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qFormat/>
    <w:uiPriority w:val="0"/>
    <w:rPr>
      <w:rFonts w:ascii="XO Thames" w:hAnsi="XO Thames"/>
    </w:rPr>
  </w:style>
  <w:style w:type="character" w:customStyle="1" w:styleId="48">
    <w:name w:val="Оглавление 1 Знак"/>
    <w:link w:val="17"/>
    <w:qFormat/>
    <w:uiPriority w:val="0"/>
    <w:rPr>
      <w:rFonts w:ascii="XO Thames" w:hAnsi="XO Thames"/>
      <w:b/>
    </w:rPr>
  </w:style>
  <w:style w:type="paragraph" w:customStyle="1" w:styleId="49">
    <w:name w:val="Header and Footer"/>
    <w:link w:val="50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qFormat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qFormat/>
    <w:uiPriority w:val="0"/>
  </w:style>
  <w:style w:type="character" w:customStyle="1" w:styleId="52">
    <w:name w:val="Оглавление 8 Знак"/>
    <w:link w:val="14"/>
    <w:qFormat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qFormat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qFormat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qFormat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qFormat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qFormat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uiPriority w:val="0"/>
    <w:rPr>
      <w:color w:val="0000FF" w:themeColor="hyperlink"/>
      <w:u w:val="single"/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qFormat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5F17-1831-4CDF-AFE9-3AE3D47CE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2569</Characters>
  <Lines>21</Lines>
  <Paragraphs>6</Paragraphs>
  <TotalTime>299</TotalTime>
  <ScaleCrop>false</ScaleCrop>
  <LinksUpToDate>false</LinksUpToDate>
  <CharactersWithSpaces>3013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2025-11-21T00:45:07Z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C10DF0F9DE0C46E4B94706266BA06F99_12</vt:lpwstr>
  </property>
</Properties>
</file>