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662FA5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410C6D" w:rsidRPr="00662FA5">
        <w:rPr>
          <w:sz w:val="28"/>
        </w:rPr>
        <w:t>30</w:t>
      </w:r>
      <w:r>
        <w:rPr>
          <w:sz w:val="28"/>
        </w:rPr>
        <w:t xml:space="preserve">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410C6D" w:rsidRPr="00410C6D">
        <w:rPr>
          <w:sz w:val="28"/>
        </w:rPr>
        <w:t xml:space="preserve"> </w:t>
      </w:r>
      <w:r w:rsidR="00410C6D" w:rsidRPr="00662FA5">
        <w:rPr>
          <w:sz w:val="28"/>
        </w:rPr>
        <w:t>456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1F6C32" w:rsidRDefault="001F6C32" w:rsidP="00644768">
      <w:pPr>
        <w:jc w:val="center"/>
        <w:rPr>
          <w:sz w:val="28"/>
        </w:rPr>
      </w:pPr>
    </w:p>
    <w:p w:rsidR="00C721E0" w:rsidRDefault="00C721E0" w:rsidP="00C721E0">
      <w:pPr>
        <w:contextualSpacing/>
        <w:jc w:val="center"/>
        <w:rPr>
          <w:b/>
          <w:sz w:val="28"/>
          <w:szCs w:val="28"/>
        </w:rPr>
      </w:pPr>
      <w:r w:rsidRPr="0021393D">
        <w:rPr>
          <w:b/>
          <w:sz w:val="28"/>
          <w:szCs w:val="28"/>
        </w:rPr>
        <w:t>Об утверждении Положения об оплате труда руководителей муниципальных образовательных учреждений муниципального района "Кыринский район", подведомственных Комитету образования администрации муниципального района "Кыринский район", оплата труда которых производится за счет средств субвенции</w:t>
      </w:r>
    </w:p>
    <w:p w:rsidR="00C721E0" w:rsidRDefault="00C721E0" w:rsidP="00C721E0">
      <w:pPr>
        <w:contextualSpacing/>
        <w:jc w:val="center"/>
        <w:rPr>
          <w:b/>
          <w:sz w:val="28"/>
          <w:szCs w:val="28"/>
        </w:rPr>
      </w:pPr>
    </w:p>
    <w:p w:rsidR="00C721E0" w:rsidRPr="0021393D" w:rsidRDefault="00C721E0" w:rsidP="00C721E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E215F">
        <w:rPr>
          <w:sz w:val="28"/>
          <w:szCs w:val="28"/>
        </w:rPr>
        <w:t xml:space="preserve">В целях приведения нормативно-правой </w:t>
      </w:r>
      <w:r>
        <w:rPr>
          <w:sz w:val="28"/>
          <w:szCs w:val="28"/>
        </w:rPr>
        <w:t>базы администрации муниципального района «Кыринский район»</w:t>
      </w:r>
      <w:r w:rsidRPr="009E215F">
        <w:rPr>
          <w:sz w:val="28"/>
          <w:szCs w:val="28"/>
        </w:rPr>
        <w:t xml:space="preserve"> в соответствие с Указом президента Российской Федерации от 07 мая 2012 года №</w:t>
      </w:r>
      <w:r>
        <w:rPr>
          <w:sz w:val="28"/>
          <w:szCs w:val="28"/>
        </w:rPr>
        <w:t xml:space="preserve"> </w:t>
      </w:r>
      <w:r w:rsidRPr="009E215F">
        <w:rPr>
          <w:sz w:val="28"/>
          <w:szCs w:val="28"/>
        </w:rPr>
        <w:t xml:space="preserve">597 </w:t>
      </w:r>
      <w:r>
        <w:rPr>
          <w:sz w:val="28"/>
          <w:szCs w:val="28"/>
        </w:rPr>
        <w:t>«</w:t>
      </w:r>
      <w:r w:rsidRPr="009E215F">
        <w:rPr>
          <w:sz w:val="28"/>
          <w:szCs w:val="28"/>
        </w:rPr>
        <w:t>О мероприятия</w:t>
      </w:r>
      <w:r>
        <w:rPr>
          <w:sz w:val="28"/>
          <w:szCs w:val="28"/>
        </w:rPr>
        <w:t>х</w:t>
      </w:r>
      <w:r w:rsidRPr="009E215F">
        <w:rPr>
          <w:sz w:val="28"/>
          <w:szCs w:val="28"/>
        </w:rPr>
        <w:t xml:space="preserve"> по реализации  гос</w:t>
      </w:r>
      <w:r>
        <w:rPr>
          <w:sz w:val="28"/>
          <w:szCs w:val="28"/>
        </w:rPr>
        <w:t>ударственной социальной политики»</w:t>
      </w:r>
      <w:r w:rsidRPr="009E215F">
        <w:rPr>
          <w:sz w:val="28"/>
          <w:szCs w:val="28"/>
        </w:rPr>
        <w:t>, Законом Забайкальского края от 09 апреля 2014 года №</w:t>
      </w:r>
      <w:r>
        <w:rPr>
          <w:sz w:val="28"/>
          <w:szCs w:val="28"/>
        </w:rPr>
        <w:t xml:space="preserve"> </w:t>
      </w:r>
      <w:r w:rsidRPr="009E215F">
        <w:rPr>
          <w:sz w:val="28"/>
          <w:szCs w:val="28"/>
        </w:rPr>
        <w:t xml:space="preserve">964-ЗЗК </w:t>
      </w:r>
      <w:r>
        <w:rPr>
          <w:sz w:val="28"/>
          <w:szCs w:val="28"/>
        </w:rPr>
        <w:t>«</w:t>
      </w:r>
      <w:r w:rsidRPr="009E215F">
        <w:rPr>
          <w:sz w:val="28"/>
          <w:szCs w:val="28"/>
        </w:rPr>
        <w:t>Об оплате труда работников государственных учреждений Забайкальского края</w:t>
      </w:r>
      <w:r>
        <w:rPr>
          <w:sz w:val="28"/>
          <w:szCs w:val="28"/>
        </w:rPr>
        <w:t>»</w:t>
      </w:r>
      <w:r w:rsidRPr="009E21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Постановлениями</w:t>
      </w:r>
      <w:r w:rsidRPr="0021393D">
        <w:rPr>
          <w:sz w:val="28"/>
          <w:szCs w:val="28"/>
        </w:rPr>
        <w:t xml:space="preserve"> Правительства Забайкальского края от 02.03.2017 </w:t>
      </w:r>
      <w:r>
        <w:rPr>
          <w:sz w:val="28"/>
          <w:szCs w:val="28"/>
        </w:rPr>
        <w:t>№ 81</w:t>
      </w:r>
      <w:r w:rsidRPr="0021393D">
        <w:rPr>
          <w:sz w:val="28"/>
          <w:szCs w:val="28"/>
        </w:rPr>
        <w:t xml:space="preserve"> "О некоторых вопросах обеспечения государственных гарантий</w:t>
      </w:r>
      <w:proofErr w:type="gramEnd"/>
      <w:r w:rsidRPr="0021393D">
        <w:rPr>
          <w:sz w:val="28"/>
          <w:szCs w:val="28"/>
        </w:rPr>
        <w:t xml:space="preserve"> </w:t>
      </w:r>
      <w:proofErr w:type="gramStart"/>
      <w:r w:rsidRPr="0021393D">
        <w:rPr>
          <w:sz w:val="28"/>
          <w:szCs w:val="28"/>
        </w:rPr>
        <w:t>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организациях" (вместе с "Методикой расчета нормативов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</w:t>
      </w:r>
      <w:proofErr w:type="gramEnd"/>
      <w:r w:rsidRPr="0021393D">
        <w:rPr>
          <w:sz w:val="28"/>
          <w:szCs w:val="28"/>
        </w:rPr>
        <w:t xml:space="preserve"> </w:t>
      </w:r>
      <w:proofErr w:type="gramStart"/>
      <w:r w:rsidRPr="0021393D">
        <w:rPr>
          <w:sz w:val="28"/>
          <w:szCs w:val="28"/>
        </w:rPr>
        <w:t>муниципальных об</w:t>
      </w:r>
      <w:r>
        <w:rPr>
          <w:sz w:val="28"/>
          <w:szCs w:val="28"/>
        </w:rPr>
        <w:t xml:space="preserve">щеобразовательных организация»,  </w:t>
      </w:r>
      <w:r w:rsidRPr="0021393D">
        <w:rPr>
          <w:sz w:val="28"/>
          <w:szCs w:val="28"/>
        </w:rPr>
        <w:t xml:space="preserve">от 03.03.2017 N 82 "О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 </w:t>
      </w:r>
      <w:r>
        <w:rPr>
          <w:sz w:val="28"/>
          <w:szCs w:val="28"/>
        </w:rPr>
        <w:t xml:space="preserve"> и </w:t>
      </w:r>
      <w:r w:rsidRPr="0021393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1393D">
        <w:rPr>
          <w:sz w:val="28"/>
          <w:szCs w:val="28"/>
        </w:rPr>
        <w:t xml:space="preserve"> Правительства Забайкальского края от 30.06.2014 N 382 (ред. от 18.02.2022) "О базовых окладах (базовых должностных окладах), базовых ставках заработной платы по профессиональным квалификационным группам работников государственных учреждений Забайкальского края"</w:t>
      </w:r>
      <w:r>
        <w:rPr>
          <w:sz w:val="28"/>
          <w:szCs w:val="28"/>
        </w:rPr>
        <w:t>, руководствуясь ст</w:t>
      </w:r>
      <w:proofErr w:type="gramEnd"/>
      <w:r>
        <w:rPr>
          <w:sz w:val="28"/>
          <w:szCs w:val="28"/>
        </w:rPr>
        <w:t xml:space="preserve">. 26 Устава муниципального района </w:t>
      </w:r>
      <w:r w:rsidRPr="009E215F">
        <w:rPr>
          <w:sz w:val="28"/>
          <w:szCs w:val="28"/>
        </w:rPr>
        <w:t xml:space="preserve">администрация муниципального района </w:t>
      </w:r>
      <w:r>
        <w:rPr>
          <w:sz w:val="28"/>
          <w:szCs w:val="28"/>
        </w:rPr>
        <w:t>«</w:t>
      </w:r>
      <w:r w:rsidRPr="009E215F">
        <w:rPr>
          <w:sz w:val="28"/>
          <w:szCs w:val="28"/>
        </w:rPr>
        <w:t>Кыринский район</w:t>
      </w:r>
      <w:r>
        <w:rPr>
          <w:sz w:val="28"/>
          <w:szCs w:val="28"/>
        </w:rPr>
        <w:t>»</w:t>
      </w:r>
      <w:r w:rsidRPr="009E215F">
        <w:rPr>
          <w:sz w:val="28"/>
          <w:szCs w:val="28"/>
        </w:rPr>
        <w:t xml:space="preserve"> постановляет:</w:t>
      </w:r>
    </w:p>
    <w:p w:rsidR="00C721E0" w:rsidRDefault="00C721E0" w:rsidP="00C721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</w:t>
      </w:r>
      <w:r w:rsidRPr="0021393D">
        <w:rPr>
          <w:sz w:val="28"/>
          <w:szCs w:val="28"/>
        </w:rPr>
        <w:t xml:space="preserve"> об оплате труда руководителей муниципальных образовательных учреждений муниципального района "Кыринский район", подведомственных Комитету образования администрации муниципал</w:t>
      </w:r>
      <w:r>
        <w:rPr>
          <w:sz w:val="28"/>
          <w:szCs w:val="28"/>
        </w:rPr>
        <w:t xml:space="preserve">ьного района "Кыринский район",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C721E0" w:rsidRPr="008C30F3" w:rsidRDefault="00C721E0" w:rsidP="00C721E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C30F3">
        <w:rPr>
          <w:sz w:val="28"/>
          <w:szCs w:val="28"/>
        </w:rPr>
        <w:t xml:space="preserve">Данное постановление распространяются на правоотношения, возникшие с </w:t>
      </w:r>
      <w:r>
        <w:rPr>
          <w:sz w:val="28"/>
          <w:szCs w:val="28"/>
        </w:rPr>
        <w:t xml:space="preserve">01 апреля </w:t>
      </w:r>
      <w:r w:rsidRPr="008C30F3">
        <w:rPr>
          <w:sz w:val="28"/>
          <w:szCs w:val="28"/>
        </w:rPr>
        <w:t xml:space="preserve"> 2022 года.</w:t>
      </w:r>
    </w:p>
    <w:p w:rsidR="00C721E0" w:rsidRPr="008C30F3" w:rsidRDefault="00C721E0" w:rsidP="00C721E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30F3">
        <w:rPr>
          <w:sz w:val="28"/>
          <w:szCs w:val="28"/>
        </w:rPr>
        <w:t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C721E0" w:rsidRDefault="00C721E0" w:rsidP="00C721E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8C30F3">
        <w:rPr>
          <w:sz w:val="28"/>
          <w:szCs w:val="28"/>
        </w:rPr>
        <w:t>Контроль за</w:t>
      </w:r>
      <w:proofErr w:type="gramEnd"/>
      <w:r w:rsidRPr="008C30F3">
        <w:rPr>
          <w:sz w:val="28"/>
          <w:szCs w:val="28"/>
        </w:rPr>
        <w:t xml:space="preserve"> исполнением настоящего постановления возложить на председателя Комитета образования администрации муниципального района «Кыринский район».</w:t>
      </w:r>
    </w:p>
    <w:p w:rsidR="00C721E0" w:rsidRPr="008C30F3" w:rsidRDefault="00C721E0" w:rsidP="00C721E0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постановление администрации муниципального района «Кыринский район» № 340 от 02.06.2015 «Об утверждении Положения об оплате труда руководителей муниципальных образовательных учреждений муниципального района «Кыринский район». </w:t>
      </w:r>
    </w:p>
    <w:p w:rsidR="003F1FCF" w:rsidRDefault="003F1FCF" w:rsidP="00644768">
      <w:pPr>
        <w:jc w:val="center"/>
        <w:rPr>
          <w:sz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</w:t>
      </w:r>
      <w:r w:rsidR="001F6C32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Pr="00662FA5" w:rsidRDefault="00850F55" w:rsidP="00850F55">
      <w:pPr>
        <w:rPr>
          <w:rStyle w:val="FontStyle12"/>
          <w:b w:val="0"/>
          <w:sz w:val="28"/>
          <w:szCs w:val="28"/>
          <w:lang w:val="en-US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662FA5">
        <w:rPr>
          <w:rStyle w:val="FontStyle12"/>
          <w:b w:val="0"/>
          <w:sz w:val="28"/>
          <w:szCs w:val="28"/>
          <w:lang w:val="en-US"/>
        </w:rPr>
        <w:t xml:space="preserve"> 30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A12471">
        <w:rPr>
          <w:rStyle w:val="FontStyle12"/>
          <w:b w:val="0"/>
          <w:sz w:val="28"/>
          <w:szCs w:val="28"/>
        </w:rPr>
        <w:t>мая</w:t>
      </w:r>
      <w:r w:rsidRPr="00850F55">
        <w:rPr>
          <w:rStyle w:val="FontStyle12"/>
          <w:b w:val="0"/>
          <w:sz w:val="28"/>
          <w:szCs w:val="28"/>
        </w:rPr>
        <w:t xml:space="preserve"> 2022 года №</w:t>
      </w:r>
      <w:r w:rsidR="00662FA5">
        <w:rPr>
          <w:rStyle w:val="FontStyle12"/>
          <w:b w:val="0"/>
          <w:sz w:val="28"/>
          <w:szCs w:val="28"/>
          <w:lang w:val="en-US"/>
        </w:rPr>
        <w:t>456</w:t>
      </w:r>
    </w:p>
    <w:p w:rsidR="00452345" w:rsidRDefault="00452345" w:rsidP="00850F55">
      <w:pPr>
        <w:rPr>
          <w:rStyle w:val="FontStyle12"/>
          <w:b w:val="0"/>
          <w:sz w:val="28"/>
          <w:szCs w:val="28"/>
        </w:rPr>
      </w:pPr>
    </w:p>
    <w:p w:rsidR="00452345" w:rsidRDefault="00452345" w:rsidP="00452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оплате труда руководителей муниципальных </w:t>
      </w:r>
    </w:p>
    <w:p w:rsidR="00452345" w:rsidRDefault="00452345" w:rsidP="0045234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муниципального района</w:t>
      </w:r>
    </w:p>
    <w:p w:rsidR="00452345" w:rsidRDefault="00452345" w:rsidP="004523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«Кыринский район»</w:t>
      </w:r>
    </w:p>
    <w:p w:rsidR="00452345" w:rsidRDefault="00452345" w:rsidP="00452345">
      <w:pPr>
        <w:rPr>
          <w:sz w:val="28"/>
          <w:szCs w:val="28"/>
        </w:rPr>
      </w:pPr>
    </w:p>
    <w:p w:rsidR="00452345" w:rsidRDefault="00452345" w:rsidP="00452345">
      <w:pPr>
        <w:pStyle w:val="1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52345" w:rsidRDefault="00452345" w:rsidP="00452345">
      <w:pPr>
        <w:pStyle w:val="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52345" w:rsidRDefault="00452345" w:rsidP="00452345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об оплате труда руководителей муниципальных образовательных учреждений (далее – Положение) муниципального района «Кыринский район» разработано в соответствии со следующими нормативно-правовыми актами: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-Трудовым Кодексом Российской Федерации (далее – ТК РФ);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года № 273-ФЗ «Об образовании в Российской Федерации»;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Забайкальского края от 11 июля 2013 года № 858-ЗЗК «Об отдельных вопросах в сфере образования»;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законом Забайкальского края от 09 апреля 2014 года № 964-ЗЗК «Об оплате труда работников государственных учреждений Забайкальского края»; 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законом Забайкальского края от 31 марта 2015 года № 1153-ЗЗК «О внесении изменений в Закон Забайкальского края «Об оплате труда работников государственных учреждений Забайкальского края»;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Забайкальского края от 16.02.2022 года №2043-ЗЗК «О внесении изменения в статью 13 Закона  Забайкальского края «Об оплате труда работников государственных учреждений Забайкальского края»;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-распоряжением Правительства Российской Федерации от 26 ноября 2012 года 2190-р «Об утверждении </w:t>
      </w:r>
      <w:proofErr w:type="gramStart"/>
      <w:r>
        <w:rPr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sz w:val="28"/>
          <w:szCs w:val="28"/>
        </w:rPr>
        <w:t xml:space="preserve"> в государственных и муниципальных учреждениях на 2012-2018 годы»;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31 октября 2002 года № 787 «О порядке утверждения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 учреждений Забайкальского края»;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Забайкальского края от 21 августа 2014 года № 471 «Об утверждении Положения о порядке и </w:t>
      </w:r>
      <w:proofErr w:type="gramStart"/>
      <w:r>
        <w:rPr>
          <w:sz w:val="28"/>
          <w:szCs w:val="28"/>
        </w:rPr>
        <w:t xml:space="preserve">размере оплаты </w:t>
      </w:r>
      <w:r>
        <w:rPr>
          <w:sz w:val="28"/>
          <w:szCs w:val="28"/>
        </w:rPr>
        <w:lastRenderedPageBreak/>
        <w:t>труда</w:t>
      </w:r>
      <w:proofErr w:type="gramEnd"/>
      <w:r>
        <w:rPr>
          <w:sz w:val="28"/>
          <w:szCs w:val="28"/>
        </w:rPr>
        <w:t xml:space="preserve"> руководителей государственных учреждений Забайкальского края, их заместителей и главных бухгалтеров»; 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Забайкальского края №81 от 02 марта 2017 года «О некоторых вопросах обеспечения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образовательных организациях, обеспечения дополнительного образования детей в муниципальных общеобразовательных организациях»;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Министерства образования, науки и молодежной политики Забайкальского края от 12 мая 2015 года № 852-р «Об утверждении Примерного положения об оплате труда руководителей муниципальных образовательных учреждений»;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Забайкальского края №82 от 03 марта 2017 года «О некоторых вопросах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Забайкальского края №88 от 15 марта 2022 года «О внесении изменений в некоторые постановления Правительства Забайкальского края в сфере образования»;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Решение Российской трехсторонней комиссии по регулированию социально-трудовых отношений от 23 декабря 2021 года, протокол 11 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год»;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Письмо Министерства образования и науки РФ от 29.12.2017 г. №ВП-1992/02 «О методических рекомендациях»;</w:t>
      </w:r>
    </w:p>
    <w:p w:rsidR="00452345" w:rsidRDefault="00452345" w:rsidP="00452345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порядок и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руководителей муниципальных образовательных учреждений при заключении с ними трудовых договоров.</w:t>
      </w:r>
    </w:p>
    <w:p w:rsidR="00452345" w:rsidRDefault="00452345" w:rsidP="00452345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руководителей образовательных учреждений определяется трудовыми договорами в соответствии с настоящим Положением.</w:t>
      </w:r>
    </w:p>
    <w:p w:rsidR="00452345" w:rsidRDefault="00452345" w:rsidP="00452345">
      <w:pPr>
        <w:jc w:val="both"/>
        <w:rPr>
          <w:sz w:val="28"/>
          <w:szCs w:val="28"/>
        </w:rPr>
      </w:pPr>
    </w:p>
    <w:p w:rsidR="00452345" w:rsidRDefault="00452345" w:rsidP="00452345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и условия оплаты труда</w:t>
      </w:r>
    </w:p>
    <w:p w:rsidR="00452345" w:rsidRDefault="00452345" w:rsidP="00452345">
      <w:pPr>
        <w:ind w:left="1080"/>
        <w:rPr>
          <w:sz w:val="28"/>
          <w:szCs w:val="28"/>
        </w:rPr>
      </w:pPr>
    </w:p>
    <w:p w:rsidR="00452345" w:rsidRDefault="00452345" w:rsidP="00452345">
      <w:pPr>
        <w:pStyle w:val="1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руководителя муниципального образовательного учреждения за исполнение трудовых (должностных) обязанностей включает:</w:t>
      </w:r>
    </w:p>
    <w:p w:rsidR="00452345" w:rsidRDefault="00452345" w:rsidP="00452345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должностной оклад;</w:t>
      </w:r>
    </w:p>
    <w:p w:rsidR="00452345" w:rsidRDefault="00452345" w:rsidP="004523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компенсационные выплаты;</w:t>
      </w:r>
    </w:p>
    <w:p w:rsidR="00452345" w:rsidRDefault="00452345" w:rsidP="00452345">
      <w:pPr>
        <w:pStyle w:val="ConsPlusNormal"/>
        <w:tabs>
          <w:tab w:val="left" w:pos="1080"/>
        </w:tabs>
        <w:ind w:left="1080" w:hanging="229"/>
        <w:jc w:val="both"/>
        <w:rPr>
          <w:sz w:val="28"/>
          <w:szCs w:val="28"/>
        </w:rPr>
      </w:pPr>
      <w:r>
        <w:rPr>
          <w:sz w:val="28"/>
          <w:szCs w:val="28"/>
        </w:rPr>
        <w:t>- стимулирующие выплаты.</w:t>
      </w:r>
    </w:p>
    <w:p w:rsidR="00452345" w:rsidRDefault="00452345" w:rsidP="00452345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Должностной оклад руководителя устанавливается учредителем образовательного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а также дифференциации муниципальных образовательных учреждений по группам по оплате труда.</w:t>
      </w:r>
    </w:p>
    <w:p w:rsidR="00452345" w:rsidRDefault="00452345" w:rsidP="00452345">
      <w:pPr>
        <w:pStyle w:val="ConsPlusNormal"/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Группы по оплате труда определяются в соответствии со среднесписочной численностью обучающихся (воспитанников) муниципальных образовательных учреждений (таблица 1).</w:t>
      </w:r>
    </w:p>
    <w:p w:rsidR="00452345" w:rsidRDefault="00452345" w:rsidP="00452345">
      <w:pPr>
        <w:pStyle w:val="ConsPlusNormal"/>
        <w:tabs>
          <w:tab w:val="left" w:pos="1701"/>
        </w:tabs>
        <w:ind w:firstLine="851"/>
        <w:jc w:val="right"/>
        <w:rPr>
          <w:sz w:val="20"/>
          <w:szCs w:val="20"/>
        </w:rPr>
      </w:pPr>
      <w:r>
        <w:t>Таблица 1</w:t>
      </w:r>
    </w:p>
    <w:p w:rsidR="00452345" w:rsidRDefault="00452345" w:rsidP="00452345">
      <w:pPr>
        <w:pStyle w:val="ConsPlusNormal"/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Группы муниципальных образовательных учреждений по оплате труда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Среднесписочная численность обучающихся (воспитанников) образовательных учреждений</w:t>
            </w:r>
          </w:p>
        </w:tc>
      </w:tr>
      <w:tr w:rsidR="00452345" w:rsidTr="004523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Общеобразовательные учреждения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1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до 115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116 до 250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251 до 500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4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500 и более</w:t>
            </w:r>
          </w:p>
        </w:tc>
      </w:tr>
      <w:tr w:rsidR="00452345" w:rsidTr="004523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Дошкольные учреждения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1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до 55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56 до 150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151до 200 чел.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4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от 201 и более</w:t>
            </w:r>
          </w:p>
        </w:tc>
      </w:tr>
      <w:tr w:rsidR="00452345" w:rsidTr="00452345">
        <w:tc>
          <w:tcPr>
            <w:tcW w:w="5000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</w:p>
        </w:tc>
      </w:tr>
    </w:tbl>
    <w:p w:rsidR="00452345" w:rsidRDefault="00452345" w:rsidP="00452345">
      <w:pPr>
        <w:pStyle w:val="ConsPlusNormal"/>
        <w:tabs>
          <w:tab w:val="left" w:pos="1701"/>
        </w:tabs>
        <w:jc w:val="center"/>
        <w:rPr>
          <w:rFonts w:eastAsia="Times New Roman"/>
          <w:sz w:val="28"/>
          <w:szCs w:val="28"/>
        </w:rPr>
      </w:pPr>
    </w:p>
    <w:p w:rsidR="00452345" w:rsidRDefault="00452345" w:rsidP="004523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Оклад руководителя муниципального образовательного учреждения определяется с учетом отнесения учреждения к группе по оплате труда согласно таблице 1 настоящего Положения с применением кратности оклада руководителя муниципального образовательного учреждения, утвержденного настоящим  Положением, к окладу рабочего первого квалификационного уровня профессиональной квалификационной группы «Общеотраслевые профессии рабочих первого уровня», предусмотренному  Примерным положением об оплате труда работников муниципальных образовательных учреждений, утвержденным Постановлением администрации муниципального района</w:t>
      </w:r>
      <w:proofErr w:type="gramEnd"/>
      <w:r>
        <w:rPr>
          <w:sz w:val="28"/>
          <w:szCs w:val="28"/>
        </w:rPr>
        <w:t xml:space="preserve"> «Кыринский район» </w:t>
      </w:r>
      <w:r w:rsidRPr="00452345">
        <w:rPr>
          <w:sz w:val="28"/>
          <w:szCs w:val="28"/>
        </w:rPr>
        <w:t>от 07.09.2017</w:t>
      </w:r>
      <w:r>
        <w:rPr>
          <w:sz w:val="28"/>
          <w:szCs w:val="28"/>
        </w:rPr>
        <w:t xml:space="preserve">  № 596</w:t>
      </w:r>
      <w:r w:rsidRPr="00452345">
        <w:rPr>
          <w:sz w:val="28"/>
          <w:szCs w:val="28"/>
        </w:rPr>
        <w:t xml:space="preserve">, </w:t>
      </w:r>
      <w:r>
        <w:rPr>
          <w:sz w:val="28"/>
          <w:szCs w:val="28"/>
        </w:rPr>
        <w:t>в размере 5 068 руб.</w:t>
      </w:r>
    </w:p>
    <w:p w:rsidR="00452345" w:rsidRDefault="00452345" w:rsidP="00452345">
      <w:pPr>
        <w:ind w:firstLine="709"/>
        <w:jc w:val="both"/>
        <w:rPr>
          <w:sz w:val="28"/>
          <w:szCs w:val="28"/>
        </w:rPr>
      </w:pPr>
    </w:p>
    <w:p w:rsidR="00452345" w:rsidRDefault="00452345" w:rsidP="00452345">
      <w:pPr>
        <w:pStyle w:val="ConsPlusNormal"/>
        <w:tabs>
          <w:tab w:val="left" w:pos="1418"/>
        </w:tabs>
        <w:ind w:firstLine="851"/>
        <w:jc w:val="right"/>
        <w:rPr>
          <w:rFonts w:eastAsia="Times New Roman"/>
          <w:sz w:val="20"/>
          <w:szCs w:val="20"/>
        </w:rPr>
      </w:pPr>
      <w:r>
        <w:t>Таблица 2</w:t>
      </w:r>
    </w:p>
    <w:p w:rsidR="00452345" w:rsidRDefault="00452345" w:rsidP="00452345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Кратность оклада руководителя муниципального образовательного учреждения к окладу рабочего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первого квалификационного уровня профессиональной квалификационной группы «Общеотраслевые профессии рабочих первого уровня» по группам муниципальных образовательных учреждений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Кратность</w:t>
            </w:r>
          </w:p>
        </w:tc>
      </w:tr>
      <w:tr w:rsidR="00452345" w:rsidTr="004523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lastRenderedPageBreak/>
              <w:t>Общеобразовательные учреждения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1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2,2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2,2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3,1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4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3,4</w:t>
            </w:r>
          </w:p>
        </w:tc>
      </w:tr>
      <w:tr w:rsidR="00452345" w:rsidTr="0045234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Дошкольные учреждения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1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2,2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2,7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3,0</w:t>
            </w:r>
          </w:p>
        </w:tc>
      </w:tr>
      <w:tr w:rsidR="00452345" w:rsidTr="00452345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4 группа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345" w:rsidRDefault="00452345">
            <w:pPr>
              <w:pStyle w:val="ConsPlusNormal"/>
              <w:tabs>
                <w:tab w:val="left" w:pos="1701"/>
              </w:tabs>
              <w:jc w:val="center"/>
              <w:rPr>
                <w:rFonts w:eastAsia="Times New Roman"/>
              </w:rPr>
            </w:pPr>
            <w:r>
              <w:t>3,5</w:t>
            </w:r>
          </w:p>
        </w:tc>
      </w:tr>
    </w:tbl>
    <w:p w:rsidR="00452345" w:rsidRDefault="00452345" w:rsidP="00452345">
      <w:pPr>
        <w:pStyle w:val="1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345" w:rsidRDefault="00452345" w:rsidP="0045234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2.5. Должностные оклады руководителя муниципального образовательного учреждения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 w:rsidR="00452345" w:rsidRDefault="00452345" w:rsidP="0045234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Выплаты компенсационного характера руководителя определяются в соответствии с пунктом 2.2. Примерного положения об оплате труда работников муниципальных образовательных учреждений, утвержденного Постановлением администрации муниципального района «Кыринский район» от 07.09.2017</w:t>
      </w:r>
      <w:r w:rsidRPr="00452345">
        <w:rPr>
          <w:sz w:val="28"/>
          <w:szCs w:val="28"/>
        </w:rPr>
        <w:t xml:space="preserve"> № </w:t>
      </w:r>
      <w:r>
        <w:rPr>
          <w:sz w:val="28"/>
          <w:szCs w:val="28"/>
        </w:rPr>
        <w:t>596, в зависимости от условий труда.</w:t>
      </w:r>
    </w:p>
    <w:p w:rsidR="00452345" w:rsidRDefault="00452345" w:rsidP="0045234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К выплатам стимулирующего характера руководителя муниципального образовательного учреждения относятся:</w:t>
      </w:r>
    </w:p>
    <w:p w:rsidR="00452345" w:rsidRDefault="00452345" w:rsidP="00452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надбавка за выслугу лет;</w:t>
      </w:r>
    </w:p>
    <w:p w:rsidR="00452345" w:rsidRDefault="00452345" w:rsidP="00452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надбавка за почетное звание, ученую степень, ученое звание; </w:t>
      </w:r>
    </w:p>
    <w:p w:rsidR="00452345" w:rsidRDefault="00452345" w:rsidP="004523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система премирования.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2.7.1. Надбавка за выслугу лет.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азмеры, условия и порядок выплаты ежемесячной надбавки за выслугу лет к должностному окладу определены в подпункте 2.3.5 пункта 2.3. Примерного положения об оплате труда работников муниципальных образовательных учреждений, </w:t>
      </w:r>
      <w:r>
        <w:rPr>
          <w:sz w:val="28"/>
          <w:szCs w:val="28"/>
        </w:rPr>
        <w:t xml:space="preserve">утвержденного Постановлением администрации муниципального района «Кыринский район» </w:t>
      </w:r>
      <w:r w:rsidRPr="00452345">
        <w:rPr>
          <w:sz w:val="28"/>
          <w:szCs w:val="28"/>
        </w:rPr>
        <w:t xml:space="preserve">от </w:t>
      </w:r>
      <w:r>
        <w:rPr>
          <w:sz w:val="28"/>
          <w:szCs w:val="28"/>
        </w:rPr>
        <w:t>07.09.2017 № 596</w:t>
      </w:r>
    </w:p>
    <w:p w:rsidR="00452345" w:rsidRDefault="00452345" w:rsidP="00452345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2.7.2.Надбавка за почетное звание, ученую степень, ученое звание.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</w:t>
      </w:r>
      <w:r>
        <w:rPr>
          <w:bCs/>
          <w:sz w:val="28"/>
          <w:szCs w:val="28"/>
        </w:rPr>
        <w:t xml:space="preserve">азмеры, условия и порядок </w:t>
      </w:r>
      <w:r>
        <w:rPr>
          <w:sz w:val="28"/>
          <w:szCs w:val="28"/>
        </w:rPr>
        <w:t xml:space="preserve">надбавки за почетное звание, ученую степень, ученое звание </w:t>
      </w:r>
      <w:r>
        <w:rPr>
          <w:bCs/>
          <w:sz w:val="28"/>
          <w:szCs w:val="28"/>
        </w:rPr>
        <w:t xml:space="preserve">к должностному окладу определены в подпункте 2.3.8 пункта 2.3. Примерного положения об оплате труда работников муниципальных образовательных учреждений, </w:t>
      </w:r>
      <w:r>
        <w:rPr>
          <w:sz w:val="28"/>
          <w:szCs w:val="28"/>
        </w:rPr>
        <w:t xml:space="preserve">утвержденного Постановлением администрации муниципального района «Кыринский район» </w:t>
      </w:r>
      <w:r w:rsidRPr="00452345">
        <w:rPr>
          <w:sz w:val="28"/>
          <w:szCs w:val="28"/>
        </w:rPr>
        <w:t xml:space="preserve">от </w:t>
      </w:r>
      <w:r>
        <w:rPr>
          <w:sz w:val="28"/>
          <w:szCs w:val="28"/>
        </w:rPr>
        <w:t>07.09.2017</w:t>
      </w:r>
      <w:r w:rsidRPr="00452345">
        <w:rPr>
          <w:sz w:val="28"/>
          <w:szCs w:val="28"/>
        </w:rPr>
        <w:t xml:space="preserve">  № </w:t>
      </w:r>
      <w:r>
        <w:rPr>
          <w:sz w:val="28"/>
          <w:szCs w:val="28"/>
        </w:rPr>
        <w:t>596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2.7.3. Система премирования.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премирования </w:t>
      </w:r>
      <w:r>
        <w:rPr>
          <w:bCs/>
          <w:sz w:val="28"/>
          <w:szCs w:val="28"/>
        </w:rPr>
        <w:t xml:space="preserve">определены в подпункте 2.3.11 пункта 2.3. Примерного положения об оплате труда работников муниципальных образовательных учреждений, </w:t>
      </w:r>
      <w:r>
        <w:rPr>
          <w:sz w:val="28"/>
          <w:szCs w:val="28"/>
        </w:rPr>
        <w:t xml:space="preserve">утвержденного Постановлением администрации муниципального района «Кыринский </w:t>
      </w:r>
      <w:r>
        <w:rPr>
          <w:sz w:val="28"/>
          <w:szCs w:val="28"/>
        </w:rPr>
        <w:lastRenderedPageBreak/>
        <w:t xml:space="preserve">район» </w:t>
      </w:r>
      <w:r w:rsidRPr="00452345">
        <w:rPr>
          <w:sz w:val="28"/>
          <w:szCs w:val="28"/>
        </w:rPr>
        <w:t>от</w:t>
      </w:r>
      <w:r>
        <w:rPr>
          <w:sz w:val="28"/>
          <w:szCs w:val="28"/>
        </w:rPr>
        <w:t xml:space="preserve"> 07.09.2017</w:t>
      </w:r>
      <w:r w:rsidRPr="00452345">
        <w:rPr>
          <w:sz w:val="28"/>
          <w:szCs w:val="28"/>
        </w:rPr>
        <w:t xml:space="preserve"> № </w:t>
      </w:r>
      <w:r>
        <w:rPr>
          <w:sz w:val="28"/>
          <w:szCs w:val="28"/>
        </w:rPr>
        <w:t>596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премирования руководителю общеобразовательного учреждения не должен превышать 70% от оклада (должностного оклада), ставки заработной платы, руководителю дошкольного учреждения не должен превышать 50% от оклада (должностного оклада), ставки заработной платы.</w:t>
      </w:r>
    </w:p>
    <w:p w:rsidR="00452345" w:rsidRDefault="00452345" w:rsidP="0045234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Выплата премии по итогам работы (за месяц, квартал и т.д.) осуществляется в пределах фонда оплаты труда по итогам оценки результативности и качества работы руководителя на основании показателей премирования, которые устанавливаются на основании локального нормативно-правого акта Председателя Комитета образования администрации муниципального района  «Кыринский район» в процентах к должностному окладу в зависимости от достижения целевых показателей эффективности деятельности муниципального образовательного учреждения</w:t>
      </w:r>
      <w:proofErr w:type="gramEnd"/>
      <w:r>
        <w:rPr>
          <w:sz w:val="28"/>
          <w:szCs w:val="28"/>
        </w:rPr>
        <w:t xml:space="preserve"> и её руководителя</w:t>
      </w:r>
      <w:r>
        <w:rPr>
          <w:b/>
          <w:sz w:val="28"/>
          <w:szCs w:val="28"/>
        </w:rPr>
        <w:t>.</w:t>
      </w:r>
    </w:p>
    <w:p w:rsidR="00452345" w:rsidRDefault="00452345" w:rsidP="00452345">
      <w:pPr>
        <w:pStyle w:val="ConsPlusNormal"/>
        <w:tabs>
          <w:tab w:val="left" w:pos="108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2.7.4. Стимулирующие выплаты руководителям устанавливаются раз в полгода, приказом Комитета образования администрации муниципального района «Кыринский район» в процентах к должностному окладу в зависимости от достижения целевых показателей эффективности деятельности муниципального образовательного учреждения и её руководителя.</w:t>
      </w:r>
    </w:p>
    <w:p w:rsidR="00452345" w:rsidRDefault="00452345" w:rsidP="00452345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2.7.5. При наличии взыскания, вынесенного руководителю за отчетный период (полугодие), выплата премии не производится.</w:t>
      </w:r>
    </w:p>
    <w:p w:rsidR="00452345" w:rsidRDefault="00452345" w:rsidP="0045234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sz w:val="28"/>
          <w:szCs w:val="28"/>
        </w:rPr>
        <w:t xml:space="preserve">             2.8. Предельный уровень соотношения средней заработной платы руководителей муниципального образовательного учреждения и   средней заработной платы работников учреждения определен Положением о порядке и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 xml:space="preserve"> руководителей государственных учреждений Забайкальского края, их заместителей и главных бухгалтеров, утвержденным постановлением Правительства Забайкальского края от 21 августа 2014 года № 471, и равен 4.  </w:t>
      </w:r>
    </w:p>
    <w:p w:rsidR="00452345" w:rsidRDefault="00452345" w:rsidP="00452345">
      <w:pPr>
        <w:pStyle w:val="ConsPlusNormal"/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Соотношение средней заработной платы руководителей муниципальных образовательных учреждений и средней заработной платы работников учреждения, формируемой за счет всех финансовых источников, рассчитывается за предшествующий календарный год. </w:t>
      </w:r>
    </w:p>
    <w:p w:rsidR="00452345" w:rsidRDefault="00452345" w:rsidP="00452345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целях формирования трудовых отношений с руководителями муниципальных образовательных учреждений при введении для них новых систем оплаты труда будут подписаны дополнительные соглашения к трудовым договорам. </w:t>
      </w:r>
    </w:p>
    <w:p w:rsidR="00452345" w:rsidRPr="00850F55" w:rsidRDefault="00452345" w:rsidP="00850F55">
      <w:pPr>
        <w:rPr>
          <w:b/>
          <w:sz w:val="26"/>
          <w:szCs w:val="26"/>
        </w:rPr>
      </w:pPr>
    </w:p>
    <w:sectPr w:rsidR="00452345" w:rsidRPr="00850F55" w:rsidSect="00BD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1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/>
      </w:rPr>
    </w:lvl>
  </w:abstractNum>
  <w:abstractNum w:abstractNumId="6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418E9"/>
    <w:multiLevelType w:val="multilevel"/>
    <w:tmpl w:val="5C7A3EB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7920" w:hanging="1800"/>
      </w:pPr>
      <w:rPr>
        <w:rFonts w:cs="Times New Roman"/>
      </w:rPr>
    </w:lvl>
  </w:abstractNum>
  <w:abstractNum w:abstractNumId="9">
    <w:nsid w:val="6FEA3F3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1F6C32"/>
    <w:rsid w:val="00235E3B"/>
    <w:rsid w:val="00285EE0"/>
    <w:rsid w:val="002D4059"/>
    <w:rsid w:val="002D4561"/>
    <w:rsid w:val="0030494C"/>
    <w:rsid w:val="00313193"/>
    <w:rsid w:val="00326226"/>
    <w:rsid w:val="003F1FCF"/>
    <w:rsid w:val="00410C6D"/>
    <w:rsid w:val="0042713F"/>
    <w:rsid w:val="00452345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62FA5"/>
    <w:rsid w:val="006A4C6F"/>
    <w:rsid w:val="006C2012"/>
    <w:rsid w:val="007C3F93"/>
    <w:rsid w:val="007E1A3F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BD472C"/>
    <w:rsid w:val="00C721E0"/>
    <w:rsid w:val="00D20600"/>
    <w:rsid w:val="00DC7552"/>
    <w:rsid w:val="00DD35FE"/>
    <w:rsid w:val="00DF5517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">
    <w:name w:val="Абзац списка1"/>
    <w:basedOn w:val="a"/>
    <w:rsid w:val="00452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">
    <w:name w:val="Абзац списка1"/>
    <w:basedOn w:val="a"/>
    <w:rsid w:val="00452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7</cp:revision>
  <cp:lastPrinted>2022-05-30T07:23:00Z</cp:lastPrinted>
  <dcterms:created xsi:type="dcterms:W3CDTF">2022-05-30T01:11:00Z</dcterms:created>
  <dcterms:modified xsi:type="dcterms:W3CDTF">2022-05-31T00:00:00Z</dcterms:modified>
</cp:coreProperties>
</file>