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531085">
        <w:rPr>
          <w:sz w:val="28"/>
        </w:rPr>
        <w:t>16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531085">
        <w:rPr>
          <w:sz w:val="28"/>
        </w:rPr>
        <w:t xml:space="preserve"> 108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D3CF4" w:rsidRDefault="00FD3CF4" w:rsidP="00FD3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реализации Стратегии социально – экономического развития муниципального района «Кыринский район» на период до 2030 года</w:t>
      </w:r>
    </w:p>
    <w:p w:rsidR="00FD3CF4" w:rsidRDefault="00FD3CF4" w:rsidP="00FD3C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3CF4" w:rsidRDefault="00FD3CF4" w:rsidP="00FD3C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39 Федерального закона от 28 июня 2014 года № 172-ФЗ «О стратегическом планировании в Российской Федерации», постановления Правительства Забайкальского края от  26.12.2013 года № 586 </w:t>
      </w:r>
      <w:proofErr w:type="gramStart"/>
      <w:r>
        <w:rPr>
          <w:sz w:val="28"/>
          <w:szCs w:val="28"/>
        </w:rPr>
        <w:t xml:space="preserve">«Об утверждении Стратегии социально-экономического развития Забайкальского края на период до 2030 года», Решения Совета муниципального района «Кыринский район» от 26 декабря 2018 года № 85 «Об утверждении Стратегии социально-экономического развития муниципального района «Кыринский район» на период до 2030 года», руководствуясь ст. 26 Устава муниципального района «Кыринский район», администрация муниципального района «Кыринский район» </w:t>
      </w:r>
      <w:r w:rsidRPr="00FD3CF4">
        <w:rPr>
          <w:sz w:val="28"/>
          <w:szCs w:val="28"/>
        </w:rPr>
        <w:t>постановляет:</w:t>
      </w:r>
      <w:proofErr w:type="gramEnd"/>
    </w:p>
    <w:p w:rsidR="00FD3CF4" w:rsidRDefault="00FD3CF4" w:rsidP="00FD3C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Стратегии социально – экономического развития муниципального района «Кыринский район» на период до 2030 года;</w:t>
      </w:r>
    </w:p>
    <w:p w:rsidR="00FD3CF4" w:rsidRDefault="00FD3CF4" w:rsidP="00FD3CF4">
      <w:pPr>
        <w:tabs>
          <w:tab w:val="left" w:pos="709"/>
        </w:tabs>
        <w:ind w:firstLine="709"/>
        <w:jc w:val="both"/>
        <w:rPr>
          <w:lang w:eastAsia="en-US"/>
        </w:rPr>
      </w:pPr>
      <w:r>
        <w:rPr>
          <w:sz w:val="28"/>
          <w:szCs w:val="28"/>
        </w:rPr>
        <w:t>2. Данное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</w:t>
      </w:r>
      <w:r>
        <w:t xml:space="preserve"> </w:t>
      </w:r>
      <w:hyperlink r:id="rId6" w:tooltip="https://kyrinskiy.75.ru/" w:history="1">
        <w:r>
          <w:rPr>
            <w:rStyle w:val="a6"/>
            <w:sz w:val="28"/>
            <w:szCs w:val="28"/>
          </w:rPr>
          <w:t>https://kyrinskiy.75.ru/</w:t>
        </w:r>
      </w:hyperlink>
      <w:proofErr w:type="gramStart"/>
      <w:r>
        <w:t xml:space="preserve"> ;</w:t>
      </w:r>
      <w:proofErr w:type="gramEnd"/>
    </w:p>
    <w:p w:rsidR="00A617CD" w:rsidRDefault="00FD3CF4" w:rsidP="00FD3CF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7C3F93" w:rsidRDefault="007C3F93" w:rsidP="00FD3CF4">
      <w:pPr>
        <w:ind w:firstLine="709"/>
        <w:jc w:val="both"/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FD3CF4" w:rsidRDefault="00FD3CF4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CF4" w:rsidRDefault="00FD3CF4" w:rsidP="00FD3C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УТВЕРЖДЕН</w:t>
      </w:r>
    </w:p>
    <w:p w:rsidR="00FD3CF4" w:rsidRDefault="00FD3CF4" w:rsidP="00FD3CF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D3CF4" w:rsidRDefault="00FD3CF4" w:rsidP="00FD3C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FD3CF4" w:rsidRDefault="00FD3CF4" w:rsidP="00FD3CF4">
      <w:pPr>
        <w:shd w:val="clear" w:color="auto" w:fill="FFFFFF"/>
        <w:jc w:val="right"/>
        <w:rPr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531085">
        <w:rPr>
          <w:sz w:val="28"/>
          <w:szCs w:val="28"/>
        </w:rPr>
        <w:t>16</w:t>
      </w:r>
      <w:r>
        <w:rPr>
          <w:sz w:val="28"/>
          <w:szCs w:val="28"/>
        </w:rPr>
        <w:t xml:space="preserve"> марта 2023 года № </w:t>
      </w:r>
      <w:r w:rsidR="00531085">
        <w:rPr>
          <w:sz w:val="28"/>
          <w:szCs w:val="28"/>
        </w:rPr>
        <w:t>108</w:t>
      </w:r>
      <w:bookmarkStart w:id="0" w:name="_GoBack"/>
      <w:bookmarkEnd w:id="0"/>
    </w:p>
    <w:p w:rsidR="00FD3CF4" w:rsidRDefault="00FD3CF4" w:rsidP="00FD3CF4">
      <w:pPr>
        <w:tabs>
          <w:tab w:val="num" w:pos="709"/>
        </w:tabs>
        <w:jc w:val="center"/>
        <w:rPr>
          <w:b/>
          <w:szCs w:val="28"/>
        </w:rPr>
      </w:pPr>
    </w:p>
    <w:p w:rsidR="00FD3CF4" w:rsidRDefault="00FD3CF4" w:rsidP="00FD3CF4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FD3CF4" w:rsidRDefault="00FD3CF4" w:rsidP="00FD3CF4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>
        <w:rPr>
          <w:b/>
        </w:rPr>
        <w:t>муниципального района «Кыринский район» на</w:t>
      </w:r>
      <w:r>
        <w:rPr>
          <w:b/>
          <w:szCs w:val="28"/>
        </w:rPr>
        <w:t xml:space="preserve"> период до 2030 года</w:t>
      </w:r>
    </w:p>
    <w:p w:rsidR="00FD3CF4" w:rsidRDefault="00FD3CF4" w:rsidP="00FD3CF4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26"/>
        <w:gridCol w:w="142"/>
        <w:gridCol w:w="2679"/>
        <w:gridCol w:w="150"/>
        <w:gridCol w:w="149"/>
        <w:gridCol w:w="1298"/>
        <w:gridCol w:w="37"/>
        <w:gridCol w:w="51"/>
        <w:gridCol w:w="2276"/>
        <w:gridCol w:w="9"/>
        <w:gridCol w:w="28"/>
        <w:gridCol w:w="2124"/>
        <w:gridCol w:w="35"/>
        <w:gridCol w:w="6"/>
        <w:gridCol w:w="57"/>
        <w:gridCol w:w="875"/>
        <w:gridCol w:w="850"/>
        <w:gridCol w:w="996"/>
        <w:gridCol w:w="995"/>
        <w:gridCol w:w="1012"/>
        <w:gridCol w:w="1861"/>
      </w:tblGrid>
      <w:tr w:rsidR="00FD3CF4" w:rsidTr="00D104DB">
        <w:tc>
          <w:tcPr>
            <w:tcW w:w="956" w:type="dxa"/>
            <w:gridSpan w:val="3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9" w:type="dxa"/>
            <w:gridSpan w:val="2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484" w:type="dxa"/>
            <w:gridSpan w:val="3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64" w:type="dxa"/>
            <w:gridSpan w:val="4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6950" w:type="dxa"/>
            <w:gridSpan w:val="9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861" w:type="dxa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FD3CF4" w:rsidTr="00D104DB">
        <w:trPr>
          <w:trHeight w:val="413"/>
        </w:trPr>
        <w:tc>
          <w:tcPr>
            <w:tcW w:w="956" w:type="dxa"/>
            <w:gridSpan w:val="3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784" w:type="dxa"/>
            <w:gridSpan w:val="5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этап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1861" w:type="dxa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D3CF4" w:rsidTr="00D104DB">
        <w:trPr>
          <w:trHeight w:val="412"/>
        </w:trPr>
        <w:tc>
          <w:tcPr>
            <w:tcW w:w="956" w:type="dxa"/>
            <w:gridSpan w:val="3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6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5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012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1861" w:type="dxa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D3CF4" w:rsidTr="00D104DB">
        <w:tc>
          <w:tcPr>
            <w:tcW w:w="14583" w:type="dxa"/>
            <w:gridSpan w:val="21"/>
            <w:tcBorders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Цель 1. Формирование благоприятной социальной среды, обеспечивающей повышение качества жизни населения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D3CF4" w:rsidTr="00D104DB">
        <w:tc>
          <w:tcPr>
            <w:tcW w:w="16444" w:type="dxa"/>
            <w:gridSpan w:val="22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Задача 1. Обеспечить повышение доступности и качества образования </w:t>
            </w:r>
          </w:p>
        </w:tc>
      </w:tr>
      <w:tr w:rsidR="00FD3CF4" w:rsidTr="00D104DB">
        <w:tc>
          <w:tcPr>
            <w:tcW w:w="956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2"/>
            <w:tcBorders>
              <w:bottom w:val="none" w:sz="4" w:space="0" w:color="000000"/>
            </w:tcBorders>
          </w:tcPr>
          <w:p w:rsidR="00FD3CF4" w:rsidRDefault="00531085" w:rsidP="00D104DB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anchor="P289" w:tooltip="file:///\\10.6.1.10\Volume_1\Информационная%20папка\ОТЧЕТЫ\СПИВАЧУК\!!Программа%20Развития%20Образования%202015\НОВАЯ_ПРОГРАММА_ВАРИАНТ_2\ПАСПОРТ_ПРОГРАММЫ.docx#P289" w:history="1">
              <w:proofErr w:type="spellStart"/>
              <w:r w:rsidR="00FD3CF4">
                <w:rPr>
                  <w:rStyle w:val="a6"/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FD3CF4">
              <w:rPr>
                <w:rFonts w:ascii="Times New Roman" w:hAnsi="Times New Roman" w:cs="Times New Roman"/>
                <w:sz w:val="20"/>
              </w:rPr>
              <w:t>«Развитие</w:t>
            </w:r>
            <w:proofErr w:type="spellEnd"/>
            <w:r w:rsidR="00FD3CF4">
              <w:rPr>
                <w:rFonts w:ascii="Times New Roman" w:hAnsi="Times New Roman" w:cs="Times New Roman"/>
                <w:sz w:val="20"/>
              </w:rPr>
              <w:t xml:space="preserve"> дошкольного образования» программы «Развитие   образования Кыринского района на 2020-2024 годы»</w:t>
            </w:r>
          </w:p>
          <w:p w:rsidR="00FD3CF4" w:rsidRDefault="00FD3CF4" w:rsidP="00D104DB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362447,0 тыс. руб. в том числе за счёт средств муниципального бюджета 66822,0 тыс. рублей, за счёт внебюджетных источников составляет    5667,4 тыс. рублей</w:t>
            </w:r>
          </w:p>
        </w:tc>
        <w:tc>
          <w:tcPr>
            <w:tcW w:w="2159" w:type="dxa"/>
            <w:gridSpan w:val="2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детей образовательных организаций охваченных образовательными программами, соответствующими образовательному стандарту дошкольного образования, %</w:t>
            </w:r>
          </w:p>
        </w:tc>
        <w:tc>
          <w:tcPr>
            <w:tcW w:w="938" w:type="dxa"/>
            <w:gridSpan w:val="3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2190"/>
        </w:trPr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FD3CF4" w:rsidRDefault="00531085" w:rsidP="00D104DB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anchor="P289" w:tooltip="file:///\\10.6.1.10\Volume_1\Информационная%20папка\ОТЧЕТЫ\СПИВАЧУК\!!Программа%20Развития%20Образования%202015\НОВАЯ_ПРОГРАММА_ВАРИАНТ_2\ПАСПОРТ_ПРОГРАММЫ.docx#P289" w:history="1">
              <w:proofErr w:type="spellStart"/>
              <w:r w:rsidR="00FD3CF4">
                <w:rPr>
                  <w:rStyle w:val="a6"/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FD3CF4">
              <w:rPr>
                <w:rFonts w:ascii="Times New Roman" w:hAnsi="Times New Roman" w:cs="Times New Roman"/>
                <w:sz w:val="20"/>
              </w:rPr>
              <w:t>«Развитие</w:t>
            </w:r>
            <w:proofErr w:type="spellEnd"/>
            <w:r w:rsidR="00FD3CF4">
              <w:rPr>
                <w:rFonts w:ascii="Times New Roman" w:hAnsi="Times New Roman" w:cs="Times New Roman"/>
                <w:sz w:val="20"/>
              </w:rPr>
              <w:t xml:space="preserve"> общего образования» программы «Развитие   образования Кыринского района на 2020-2024 годы»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составляет: 546523,73  тыс. руб., в том числе за счёт средств муниципального бюджета 111875,8 тыс. рублей, за счёт внебюджетных источников составляет 8500,0 тыс. рублей</w:t>
            </w:r>
          </w:p>
        </w:tc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22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Подпрограмма «</w:t>
            </w:r>
            <w:r>
              <w:rPr>
                <w:sz w:val="20"/>
                <w:szCs w:val="20"/>
              </w:rPr>
              <w:t xml:space="preserve">Развитие систем воспитания и дополнительного образования детей» программы «Развитие   образования Кыринского </w:t>
            </w:r>
            <w:r>
              <w:rPr>
                <w:sz w:val="20"/>
                <w:szCs w:val="20"/>
              </w:rPr>
              <w:lastRenderedPageBreak/>
              <w:t>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15600,0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, в том числе за счёт средств муниципального бюджета 15600,0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в возрасте 5 - 18 лет программами дополнительного образования</w:t>
            </w:r>
            <w:proofErr w:type="gramStart"/>
            <w:r>
              <w:rPr>
                <w:sz w:val="20"/>
                <w:szCs w:val="20"/>
              </w:rPr>
              <w:t>,  %;</w:t>
            </w:r>
            <w:proofErr w:type="gramEnd"/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19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 летнего отдыха»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составляет: 7775,0 тыс. руб., в том числе за счёт средств   муниципального бюджета 1500,0  тыс. рублей, за счёт внебюджетных источников составляет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комплекса мер, направленных на увеличение количества школьников, охваченных программами каникулярного отдыха, в общей численности детей не ниже 80%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107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информационной прозрачности системы образования»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Объём финансирования составляет: 556,0 тыс. руб., в том числе за счёт средств муниципального бюджета 556,0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162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кадрового потенциала системы образования»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составляет:  1022,5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, в том числе за счёт средств муниципального бюджета  1022,5 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учителей в муниципальных образовательных организациях края в возрасте до 35 лет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204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профилактики и комплексного сопровождения воспитанников и обучающихся»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составляет: 120,0 тыс. руб., в том числе за счёт средств муниципального бюджета 120,0 тыс. 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left" w:pos="293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 xml:space="preserve">увеличение доли образовательных организаций, </w:t>
            </w:r>
            <w:r>
              <w:rPr>
                <w:sz w:val="20"/>
                <w:szCs w:val="20"/>
                <w:lang w:eastAsia="ko-KR"/>
              </w:rPr>
              <w:t xml:space="preserve">имеющих </w:t>
            </w:r>
          </w:p>
          <w:p w:rsidR="00FD3CF4" w:rsidRDefault="00FD3CF4" w:rsidP="00D104DB">
            <w:pPr>
              <w:tabs>
                <w:tab w:val="left" w:pos="293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службу комплексного сопровождения </w:t>
            </w:r>
            <w:proofErr w:type="gramStart"/>
            <w:r>
              <w:rPr>
                <w:sz w:val="20"/>
                <w:szCs w:val="20"/>
                <w:lang w:eastAsia="ko-KR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ko-KR"/>
              </w:rPr>
              <w:t xml:space="preserve"> и </w:t>
            </w:r>
          </w:p>
          <w:p w:rsidR="00FD3CF4" w:rsidRDefault="00FD3CF4" w:rsidP="00D104DB">
            <w:pPr>
              <w:tabs>
                <w:tab w:val="num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воспитанников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15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реабилитационной работы  специального образования и опеки детей, оказавшихся  в трудной жизненной ситуации»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320,0 тыс.  руб., в том числе за счёт средств муниципального бюджета  320,0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детей, оставшихся без попечения родителей, переданных на воспитание в замещающие семьи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образовательных учреждений муниципального района «Кыринский район»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pStyle w:val="ConsPlusNormal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средств бюджета муниципального района «Кыринский район» составляет                                         </w:t>
            </w:r>
          </w:p>
          <w:p w:rsidR="00FD3CF4" w:rsidRDefault="00FD3CF4" w:rsidP="00D1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6908,4 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безопасности образовательных учреждений; снижение рисков возникновения чрезвычайных ситуаций, травматизма и гибели людей</w:t>
            </w:r>
          </w:p>
          <w:p w:rsidR="00FD3CF4" w:rsidRDefault="00FD3CF4" w:rsidP="00D104DB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rPr>
          <w:trHeight w:val="91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детского дорожно-транспортного травматизма»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Объем средств муниципального бюджета, необходимых для финансирования подпрограммы, составляет </w:t>
            </w:r>
            <w:r>
              <w:rPr>
                <w:color w:val="000000"/>
                <w:sz w:val="20"/>
                <w:szCs w:val="20"/>
              </w:rPr>
              <w:t xml:space="preserve">238,0  тыс. </w:t>
            </w: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Заложить основы знаний по безопасности дорожного движения.</w:t>
            </w:r>
          </w:p>
          <w:p w:rsidR="00FD3CF4" w:rsidRDefault="00FD3CF4" w:rsidP="00D104DB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современных технологий компенсировать серьезные пробелы в обучении детей правилам безопасности дорожного движения.</w:t>
            </w:r>
          </w:p>
          <w:p w:rsidR="00FD3CF4" w:rsidRDefault="00FD3CF4" w:rsidP="00D104DB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детского дорожно – транспортного травматизма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FD3CF4" w:rsidTr="00D104DB">
        <w:tc>
          <w:tcPr>
            <w:tcW w:w="16444" w:type="dxa"/>
            <w:gridSpan w:val="22"/>
            <w:tcBorders>
              <w:top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2. Содействовать в повышении доступности и качества предоставления медицинских услуг</w:t>
            </w:r>
          </w:p>
        </w:tc>
      </w:tr>
      <w:tr w:rsidR="00FD3CF4" w:rsidTr="00D104DB">
        <w:tc>
          <w:tcPr>
            <w:tcW w:w="814" w:type="dxa"/>
            <w:gridSpan w:val="2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Федеральная  государственная программа «Модернизация первичного звена здравоохранения»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Ремонт поликлиники №1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Приобретение  </w:t>
            </w:r>
            <w:proofErr w:type="gramStart"/>
            <w:r>
              <w:rPr>
                <w:spacing w:val="-20"/>
                <w:sz w:val="20"/>
                <w:szCs w:val="20"/>
              </w:rPr>
              <w:t>рентген-аппарата</w:t>
            </w:r>
            <w:proofErr w:type="gramEnd"/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Строительство ФАП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с. Верхний </w:t>
            </w:r>
            <w:proofErr w:type="spellStart"/>
            <w:r>
              <w:rPr>
                <w:spacing w:val="-20"/>
                <w:sz w:val="20"/>
                <w:szCs w:val="20"/>
              </w:rPr>
              <w:t>Ульхун</w:t>
            </w:r>
            <w:proofErr w:type="spellEnd"/>
          </w:p>
        </w:tc>
        <w:tc>
          <w:tcPr>
            <w:tcW w:w="1597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2364" w:type="dxa"/>
            <w:gridSpan w:val="3"/>
          </w:tcPr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Всего, млн. руб.: 35,88</w:t>
            </w: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ФБ – 23,33</w:t>
            </w: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ФБ –8,51</w:t>
            </w: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ФБ –4,04</w:t>
            </w:r>
          </w:p>
          <w:p w:rsidR="00FD3CF4" w:rsidRDefault="00FD3CF4" w:rsidP="00D104DB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Приведение в соответствии с современными требованиями СанПиН площади помещений, обеспечение доступности и улучшение качества оказания первичной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медицинской помощи населению сельских поселений.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360"/>
        </w:trPr>
        <w:tc>
          <w:tcPr>
            <w:tcW w:w="16444" w:type="dxa"/>
            <w:gridSpan w:val="22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Задача 3. Обеспечить устойчивое развитие культурно-досуговой сферы, физической культуры и спорта, проведение эффективной молодежной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политики</w:t>
            </w:r>
          </w:p>
        </w:tc>
      </w:tr>
      <w:tr w:rsidR="00FD3CF4" w:rsidTr="00D104DB">
        <w:trPr>
          <w:trHeight w:val="2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</w:t>
            </w:r>
            <w:proofErr w:type="gramStart"/>
            <w:r>
              <w:rPr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sz w:val="20"/>
                <w:szCs w:val="20"/>
              </w:rPr>
              <w:t xml:space="preserve"> муниципальная программа</w:t>
            </w:r>
          </w:p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 Кыринского района»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из средств бюджета МР «Кыринский район» составляет: 193416,50 тыс. руб.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участников культурно-досуговых мероприятий по сравнению с предыдущим годом увеличится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</w:t>
            </w:r>
          </w:p>
        </w:tc>
      </w:tr>
      <w:tr w:rsidR="00FD3CF4" w:rsidTr="00D104DB">
        <w:trPr>
          <w:trHeight w:val="228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«Гармонизация межнациональных и межконфессиональных отношений в муниципальном районе Кыринский район» программа</w:t>
            </w:r>
          </w:p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 Кыринского района»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из средств бюджета МР «Кыринский район»  составляет 240,0  тыс. руб.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созданных и размещенных  тематических статей по вопросам межэтнических отношений в районных средствах массовой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</w:t>
            </w:r>
          </w:p>
        </w:tc>
      </w:tr>
      <w:tr w:rsidR="00FD3CF4" w:rsidTr="00D104DB">
        <w:trPr>
          <w:trHeight w:val="1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в Кыринском районе» программа</w:t>
            </w:r>
          </w:p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 Кыринского района»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из средств бюджета МР «Кыринский район» составляет: 286470,00 тыс. руб.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 населения муниципального района «Кыринский район», регулярно занимающегося физической культурой и спортом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</w:t>
            </w:r>
          </w:p>
        </w:tc>
      </w:tr>
      <w:tr w:rsidR="00FD3CF4" w:rsidTr="00D104DB">
        <w:trPr>
          <w:trHeight w:val="15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«Молодежь Кыринского района» программа</w:t>
            </w:r>
          </w:p>
          <w:p w:rsidR="00FD3CF4" w:rsidRDefault="00FD3CF4" w:rsidP="00D104DB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 Кыринского района»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из средств бюджета МР «Кыринский район» составляет: 578,0 тыс. руб.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увеличению числа молодых людей, активно занимающихся физической культурой и спортом, пропагандирующих  </w:t>
            </w:r>
            <w:r>
              <w:rPr>
                <w:sz w:val="20"/>
                <w:szCs w:val="20"/>
              </w:rPr>
              <w:lastRenderedPageBreak/>
              <w:t xml:space="preserve">здоровый образ 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</w:t>
            </w:r>
          </w:p>
        </w:tc>
      </w:tr>
      <w:tr w:rsidR="00FD3CF4" w:rsidTr="00D104DB">
        <w:trPr>
          <w:trHeight w:val="580"/>
        </w:trPr>
        <w:tc>
          <w:tcPr>
            <w:tcW w:w="1644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Задача 4. Содействовать улучшению жилищных условий и повышению доступности жилья</w:t>
            </w:r>
          </w:p>
        </w:tc>
      </w:tr>
    </w:tbl>
    <w:p w:rsidR="00FD3CF4" w:rsidRDefault="00FD3CF4" w:rsidP="00FD3CF4"/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5"/>
        <w:gridCol w:w="65"/>
        <w:gridCol w:w="2679"/>
        <w:gridCol w:w="71"/>
        <w:gridCol w:w="16"/>
        <w:gridCol w:w="63"/>
        <w:gridCol w:w="1484"/>
        <w:gridCol w:w="38"/>
        <w:gridCol w:w="13"/>
        <w:gridCol w:w="63"/>
        <w:gridCol w:w="2222"/>
        <w:gridCol w:w="28"/>
        <w:gridCol w:w="19"/>
        <w:gridCol w:w="13"/>
        <w:gridCol w:w="2092"/>
        <w:gridCol w:w="35"/>
        <w:gridCol w:w="6"/>
        <w:gridCol w:w="26"/>
        <w:gridCol w:w="31"/>
        <w:gridCol w:w="734"/>
        <w:gridCol w:w="19"/>
        <w:gridCol w:w="47"/>
        <w:gridCol w:w="31"/>
        <w:gridCol w:w="62"/>
        <w:gridCol w:w="21"/>
        <w:gridCol w:w="635"/>
        <w:gridCol w:w="47"/>
        <w:gridCol w:w="135"/>
        <w:gridCol w:w="12"/>
        <w:gridCol w:w="26"/>
        <w:gridCol w:w="658"/>
        <w:gridCol w:w="19"/>
        <w:gridCol w:w="151"/>
        <w:gridCol w:w="23"/>
        <w:gridCol w:w="101"/>
        <w:gridCol w:w="15"/>
        <w:gridCol w:w="582"/>
        <w:gridCol w:w="55"/>
        <w:gridCol w:w="42"/>
        <w:gridCol w:w="35"/>
        <w:gridCol w:w="20"/>
        <w:gridCol w:w="246"/>
        <w:gridCol w:w="12"/>
        <w:gridCol w:w="844"/>
        <w:gridCol w:w="26"/>
        <w:gridCol w:w="130"/>
        <w:gridCol w:w="18"/>
        <w:gridCol w:w="57"/>
        <w:gridCol w:w="1786"/>
      </w:tblGrid>
      <w:tr w:rsidR="00FD3CF4" w:rsidTr="00D104DB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из средств МР «Кыринский район» составляет: 340,0 тыс. рублей.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общую площадь жилых помещений, приходящихся в среднем на одного жителя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сельского хозяйства администрации муниципального района «Кыринский район»</w:t>
            </w:r>
          </w:p>
        </w:tc>
      </w:tr>
      <w:tr w:rsidR="00FD3CF4" w:rsidTr="00D104DB">
        <w:trPr>
          <w:trHeight w:val="336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5. Обеспечить повышение безопасности жизнедеятельности населения и сохранения благоприятной экологической обстановки</w:t>
            </w:r>
          </w:p>
        </w:tc>
      </w:tr>
      <w:tr w:rsidR="00FD3CF4" w:rsidTr="00D104DB">
        <w:trPr>
          <w:trHeight w:val="30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укрепление законности и правопорядка, профилактика экстремизма на территории района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преступлений зарегистрированных на  тыс. человек населения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258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6. Содействовать в реализации мероприятий по активной политике занятости населения</w:t>
            </w:r>
          </w:p>
        </w:tc>
      </w:tr>
      <w:tr w:rsidR="00FD3CF4" w:rsidTr="00D104DB">
        <w:trPr>
          <w:trHeight w:val="240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современных рабочих специальностей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занятых в экономики (среднегодовая без учета субъектов малого предпринимательства, включая организации, средняя численность работников которых не превышает 15 человек) тыс. человек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207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отдельных категорий граждан (женщин, воспитывающих детей, инвалидов, лиц старшего поколения)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21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7. Обеспечить повышение доходов населения и развития системы социального партнерства</w:t>
            </w:r>
          </w:p>
        </w:tc>
      </w:tr>
      <w:tr w:rsidR="00FD3CF4" w:rsidTr="00D104DB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временной занятости несовершеннолетних граждан в возрасте от 14 до 18 лет.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занятых несовершеннолетних граждан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2107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безработных граждан к быстрейшему переобучению и повышению квалификации по специальностям, требующимся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обученных безработных граждан от числа стоящих на учете в ЦЗН,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27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конкурентоспособности женщин и молодежи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18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8. Обеспечить создание </w:t>
            </w:r>
            <w:proofErr w:type="spellStart"/>
            <w:r>
              <w:rPr>
                <w:b/>
                <w:sz w:val="20"/>
                <w:szCs w:val="20"/>
              </w:rPr>
              <w:t>безбарьерной</w:t>
            </w:r>
            <w:proofErr w:type="spellEnd"/>
            <w:r>
              <w:rPr>
                <w:b/>
                <w:sz w:val="20"/>
                <w:szCs w:val="20"/>
              </w:rPr>
              <w:t xml:space="preserve"> среды для лиц с ограниченными возможностями передвижения</w:t>
            </w:r>
          </w:p>
        </w:tc>
      </w:tr>
      <w:tr w:rsidR="00FD3CF4" w:rsidTr="00D104DB">
        <w:trPr>
          <w:trHeight w:val="13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социально значимых объектов социальной инфраструктур, находящихся в муниципальной собственности, с целью обеспечения доступности для инвалидов, в том числе: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учреждений </w:t>
            </w:r>
            <w:proofErr w:type="gramStart"/>
            <w:r>
              <w:rPr>
                <w:sz w:val="20"/>
                <w:szCs w:val="20"/>
              </w:rPr>
              <w:t>образовании</w:t>
            </w:r>
            <w:proofErr w:type="gramEnd"/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учреждений культуры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-учреждений администрации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- 0,0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КБ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приоритетных объектов социальной инфраструктуры, на которых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района,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rPr>
                <w:sz w:val="20"/>
                <w:szCs w:val="20"/>
              </w:rPr>
            </w:pP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proofErr w:type="gramStart"/>
            <w:r>
              <w:rPr>
                <w:sz w:val="20"/>
                <w:szCs w:val="20"/>
              </w:rPr>
              <w:t>образовании</w:t>
            </w:r>
            <w:proofErr w:type="gramEnd"/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</w:t>
            </w:r>
          </w:p>
        </w:tc>
      </w:tr>
      <w:tr w:rsidR="00FD3CF4" w:rsidTr="00D104DB">
        <w:trPr>
          <w:trHeight w:val="252"/>
        </w:trPr>
        <w:tc>
          <w:tcPr>
            <w:tcW w:w="16444" w:type="dxa"/>
            <w:gridSpan w:val="50"/>
            <w:tcBorders>
              <w:top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2.  Развитие экономического потенциала территории</w:t>
            </w:r>
          </w:p>
        </w:tc>
      </w:tr>
      <w:tr w:rsidR="00FD3CF4" w:rsidTr="00D104DB">
        <w:tc>
          <w:tcPr>
            <w:tcW w:w="16444" w:type="dxa"/>
            <w:gridSpan w:val="50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Содействовать развитию транспортной инфраструктуры</w:t>
            </w:r>
          </w:p>
        </w:tc>
      </w:tr>
      <w:tr w:rsidR="00FD3CF4" w:rsidTr="00D104DB">
        <w:tc>
          <w:tcPr>
            <w:tcW w:w="956" w:type="dxa"/>
            <w:gridSpan w:val="3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на транспортные пассажирские перевозки</w:t>
            </w:r>
          </w:p>
        </w:tc>
        <w:tc>
          <w:tcPr>
            <w:tcW w:w="1634" w:type="dxa"/>
            <w:gridSpan w:val="4"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населенных пунктов, не обеспеченных регулярным транспортным сообщением на территории муниципального района, %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15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 Обеспечить благоприятную среду для развития многопрофильного предпринимательства, развития сельского хозяйства</w:t>
            </w:r>
          </w:p>
        </w:tc>
      </w:tr>
      <w:tr w:rsidR="00FD3CF4" w:rsidTr="00D104DB">
        <w:trPr>
          <w:trHeight w:val="111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lastRenderedPageBreak/>
              <w:t>методическое обеспечение ОМСУ, субъектов малого и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субъектов </w:t>
            </w:r>
            <w:r>
              <w:rPr>
                <w:sz w:val="20"/>
                <w:szCs w:val="20"/>
              </w:rPr>
              <w:lastRenderedPageBreak/>
              <w:t>малого и среднего предпринимательства, получивших информационную поддержку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для средств массовой информации, официального сайта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опубликованных статей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153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работы Совета по развитию малого и среднего предпринимательства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3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165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3. Активизировать развитие сельского хозяйства, за счет поддержки личных подсобных хозяйств населения, крестьянско-фермерских хозяйств. Создание </w:t>
            </w:r>
            <w:proofErr w:type="gramStart"/>
            <w:r>
              <w:rPr>
                <w:b/>
                <w:sz w:val="20"/>
                <w:szCs w:val="20"/>
              </w:rPr>
              <w:t>потребительского</w:t>
            </w:r>
            <w:proofErr w:type="gramEnd"/>
            <w:r>
              <w:rPr>
                <w:b/>
                <w:sz w:val="20"/>
                <w:szCs w:val="20"/>
              </w:rPr>
              <w:t xml:space="preserve"> кооперативов, заготовительной организации</w:t>
            </w:r>
          </w:p>
        </w:tc>
      </w:tr>
      <w:tr w:rsidR="00FD3CF4" w:rsidTr="00D104DB">
        <w:trPr>
          <w:trHeight w:val="96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сельскохозяйственного потребительского кооператива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созданных</w:t>
            </w:r>
            <w:proofErr w:type="gramEnd"/>
            <w:r>
              <w:rPr>
                <w:sz w:val="20"/>
                <w:szCs w:val="20"/>
              </w:rPr>
              <w:t xml:space="preserve"> СПК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консультативной поддержки ЛПХ, КФХ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D3CF4" w:rsidTr="00D104DB">
        <w:trPr>
          <w:trHeight w:val="21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3. Повышение эффективности деятельности органов местного самоуправления</w:t>
            </w:r>
          </w:p>
        </w:tc>
      </w:tr>
      <w:tr w:rsidR="00FD3CF4" w:rsidTr="00D104DB">
        <w:trPr>
          <w:trHeight w:val="7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Обеспечить повышение уровня информационной открытости органов местного самоуправления</w:t>
            </w:r>
          </w:p>
        </w:tc>
      </w:tr>
      <w:tr w:rsidR="00FD3CF4" w:rsidTr="00D104DB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граждан о возможностях и преимуществах получения </w:t>
            </w:r>
            <w:r>
              <w:rPr>
                <w:sz w:val="20"/>
                <w:szCs w:val="20"/>
              </w:rPr>
              <w:lastRenderedPageBreak/>
              <w:t>муниципальных услуг в электронной форме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граждан, имеющих доступ к получению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27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Задача 2. Повысить эффективность финансово-бюджетной, налоговой и экономической политики в муниципальном образовании</w:t>
            </w:r>
          </w:p>
        </w:tc>
      </w:tr>
      <w:tr w:rsidR="00FD3CF4" w:rsidTr="00D104DB">
        <w:trPr>
          <w:trHeight w:val="330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прогнозирования налоговых доходов в бюджет муниципального района на очередной финансовый год и плановый период, уточнение прогноза, обеспечение поступлений в бюджет муниципального район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налоговых и неналоговых доходов местного бюджета  в общем объеме собственных доходов бюджета муниципального  района,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финансам</w:t>
            </w:r>
          </w:p>
        </w:tc>
      </w:tr>
      <w:tr w:rsidR="00FD3CF4" w:rsidTr="00D104DB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расчета налогового потенциала консолидированного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муниципального района по видам налогов и в разрезе муниципальных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247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ежемесячного мониторинга задолженности перед бюджетом района и </w:t>
            </w:r>
            <w:r>
              <w:rPr>
                <w:sz w:val="20"/>
                <w:szCs w:val="20"/>
              </w:rPr>
              <w:lastRenderedPageBreak/>
              <w:t xml:space="preserve">бюджетами муниципальных образований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уплате налогов и иных обязательных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платежей, принятие мер воздействия на должников совместно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главными администраторами (администраторами) доходов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28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Выполнение утвержденных плановых назначений неналоговых доходов в бюджет  района от распоряжения и управления имущественными объектами и земельными участками, находящимися в собственности 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  <w:tcBorders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15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3. Обеспечить повышения эффективности муниципального управления</w:t>
            </w:r>
          </w:p>
        </w:tc>
      </w:tr>
      <w:tr w:rsidR="00FD3CF4" w:rsidTr="00D104DB">
        <w:trPr>
          <w:trHeight w:val="31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освещения деятельности органов местного самоуправления  района в СМИ и повышения эффективности муниципального управления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населения, удовлетворенного деятельностью органов местного самоуправления, % от числа опрошенных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34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Предоставление консультационной, координационной поддержки и методической помощи СО НКО, поддержка в области подготовки, дополнительного профессионального образования работников и добровольцев СО НКО.</w:t>
            </w:r>
          </w:p>
          <w:p w:rsidR="00FD3CF4" w:rsidRDefault="00FD3CF4" w:rsidP="00D104DB">
            <w:pPr>
              <w:tabs>
                <w:tab w:val="num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3CF4" w:rsidTr="00D104DB">
        <w:trPr>
          <w:trHeight w:val="444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в актуальном состоянии на официальном сайте тематического подраздела по вопросам предоставлении муниципальных услуг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F4" w:rsidRDefault="00FD3CF4" w:rsidP="00D104DB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D3C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31085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CF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3CF4"/>
    <w:rPr>
      <w:color w:val="0000FF" w:themeColor="hyperlink"/>
      <w:u w:val="single"/>
    </w:rPr>
  </w:style>
  <w:style w:type="paragraph" w:customStyle="1" w:styleId="ConsPlusTitle">
    <w:name w:val="ConsPlusTitle"/>
    <w:rsid w:val="00FD3CF4"/>
    <w:pPr>
      <w:widowControl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D3CF4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CF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3CF4"/>
    <w:rPr>
      <w:color w:val="0000FF" w:themeColor="hyperlink"/>
      <w:u w:val="single"/>
    </w:rPr>
  </w:style>
  <w:style w:type="paragraph" w:customStyle="1" w:styleId="ConsPlusTitle">
    <w:name w:val="ConsPlusTitle"/>
    <w:rsid w:val="00FD3CF4"/>
    <w:pPr>
      <w:widowControl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D3CF4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rinskiy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2023-03-15T23:46:00Z</dcterms:created>
  <dcterms:modified xsi:type="dcterms:W3CDTF">2023-03-16T02:54:00Z</dcterms:modified>
</cp:coreProperties>
</file>