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2" w:rsidRPr="00470822" w:rsidRDefault="00470822" w:rsidP="00470822">
      <w:pPr>
        <w:autoSpaceDE w:val="0"/>
        <w:autoSpaceDN w:val="0"/>
        <w:adjustRightInd w:val="0"/>
        <w:ind w:firstLine="540"/>
        <w:jc w:val="both"/>
        <w:rPr>
          <w:b/>
        </w:rPr>
      </w:pPr>
      <w:r w:rsidRPr="00470822">
        <w:rPr>
          <w:b/>
        </w:rPr>
        <w:t>Мероприятия, предусмотренные проектом, должны быть направлены на реализацию следующих направлений:</w:t>
      </w:r>
    </w:p>
    <w:p w:rsidR="002A574A" w:rsidRDefault="002A574A" w:rsidP="002A574A">
      <w:pPr>
        <w:pStyle w:val="s1"/>
        <w:shd w:val="clear" w:color="auto" w:fill="FFFFFF"/>
        <w:ind w:firstLine="540"/>
        <w:contextualSpacing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а) строительство и реконструкция (модернизация) объектов (в том числе модульных), капитальный ремонт объектов, включая многофункциональные, предназначенных для предоставления соответствующих услуг населению (в том числе маломобильному):</w:t>
      </w:r>
      <w:proofErr w:type="gramEnd"/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государственных или муниципальных дошкольных образовательных организаций;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государственных или муниципальных общеобразовательных организаций;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государственных или муниципальных организаций дополнительного образования;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медицинских организаций государственной и муниципальной систем здравоохранения и их структурных подразделений, на базе которых оказывается первичная медико-санитарная помощь (поликлиники, их структурные подразделения, врачебные амбулатории, центры (отделения) общей врачебной практики (семейной медицины), фельдшерско-акушерские пункты и фельдшерские здравпункты), а также здания (отдельные здания, комплексы зданий) центральных районных больниц, в том числе предусматривающих оказание медицинской помощи с применением телемедицинских технологий;</w:t>
      </w:r>
      <w:proofErr w:type="gramEnd"/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государственных или муниципальных организаций культурно-досугового типа;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государственных или муниципальных физкультурно-спортивных организаций;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государственных организаций социального обслуживания;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государственных учреждений, подведомственных уполномоченным в области ветеринарии органам исполнительной власти субъектов Российской Федерации, и их структурных подразделений, осуществляющих проведение профилактических, диагностических и лечебных мероприятий;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строительство, реконструкция (модернизация) объектов, предназначенных для размещения в них организаций народных художественных промыслов, входящих в перечень, утвержденный в соответствии с </w:t>
      </w:r>
      <w:hyperlink r:id="rId5" w:anchor="/document/179957/entry/401" w:history="1">
        <w:r>
          <w:rPr>
            <w:rStyle w:val="a3"/>
            <w:color w:val="3272C0"/>
            <w:sz w:val="23"/>
            <w:szCs w:val="23"/>
          </w:rPr>
          <w:t>пунктом 1 статьи 4</w:t>
        </w:r>
      </w:hyperlink>
      <w:r>
        <w:rPr>
          <w:color w:val="22272F"/>
          <w:sz w:val="23"/>
          <w:szCs w:val="23"/>
        </w:rPr>
        <w:t> Федерального закона "О народных художественных промыслах";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реконструкция (модернизация), капитальный ремонт объектов ремесленной деятельности, объектов туризма, объектов, имеющих туристический потенциал, находящихся в государственной или муниципальной собственности;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приобретение транспортных средств (не бывших в употреблении или эксплуатации) для обеспечения функционирования существующих или создаваемых в рамках проекта объектов, указанных в </w:t>
      </w:r>
      <w:hyperlink r:id="rId6" w:anchor="/document/72260516/entry/111311" w:history="1">
        <w:r>
          <w:rPr>
            <w:rStyle w:val="a3"/>
            <w:color w:val="3272C0"/>
            <w:sz w:val="23"/>
            <w:szCs w:val="23"/>
          </w:rPr>
          <w:t>подпункте "а"</w:t>
        </w:r>
      </w:hyperlink>
      <w:proofErr w:type="gramStart"/>
      <w:r>
        <w:rPr>
          <w:color w:val="22272F"/>
          <w:sz w:val="23"/>
          <w:szCs w:val="23"/>
        </w:rPr>
        <w:t> :</w:t>
      </w:r>
      <w:proofErr w:type="gramEnd"/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пассажирских автобусов (микроавтобусов), в том числе использующих природный газ в качестве моторного топлива;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санитарных автомобилей (автомобилей скорой помощи класса "А", оснащенных необходимым оборудованием);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комплексов передвижных медицинских на колесных транспортных </w:t>
      </w:r>
      <w:proofErr w:type="gramStart"/>
      <w:r>
        <w:rPr>
          <w:color w:val="22272F"/>
          <w:sz w:val="23"/>
          <w:szCs w:val="23"/>
        </w:rPr>
        <w:t>средствах</w:t>
      </w:r>
      <w:proofErr w:type="gramEnd"/>
      <w:r>
        <w:rPr>
          <w:color w:val="22272F"/>
          <w:sz w:val="23"/>
          <w:szCs w:val="23"/>
        </w:rPr>
        <w:t xml:space="preserve"> со стандартным оснащением для оказания первичной медико-санитарной помощи и проведения профилактического медицинского осмотра;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мобильных ветеринарных пунктов на колесных транспортных </w:t>
      </w:r>
      <w:proofErr w:type="gramStart"/>
      <w:r>
        <w:rPr>
          <w:color w:val="22272F"/>
          <w:sz w:val="23"/>
          <w:szCs w:val="23"/>
        </w:rPr>
        <w:t>средствах</w:t>
      </w:r>
      <w:proofErr w:type="gramEnd"/>
      <w:r>
        <w:rPr>
          <w:color w:val="22272F"/>
          <w:sz w:val="23"/>
          <w:szCs w:val="23"/>
        </w:rPr>
        <w:t xml:space="preserve"> с оснащением для оказания ветеринарной помощи и проведения профилактических мероприятий;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мобильных утилизационных установок для обеспечения деятельности государственных учреждений, указанных в </w:t>
      </w:r>
      <w:hyperlink r:id="rId7" w:anchor="/document/72260516/entry/1113119" w:history="1">
        <w:r>
          <w:rPr>
            <w:rStyle w:val="a3"/>
            <w:color w:val="3272C0"/>
            <w:sz w:val="23"/>
            <w:szCs w:val="23"/>
          </w:rPr>
          <w:t>абзаце девятом подпункта "а"</w:t>
        </w:r>
      </w:hyperlink>
      <w:proofErr w:type="gramStart"/>
      <w:r>
        <w:rPr>
          <w:color w:val="22272F"/>
          <w:sz w:val="23"/>
          <w:szCs w:val="23"/>
        </w:rPr>
        <w:t> ;</w:t>
      </w:r>
      <w:proofErr w:type="gramEnd"/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приобретение и установка модульных конструкций (за исключением объектов с массовым пребыванием граждан, указанных в </w:t>
      </w:r>
      <w:hyperlink r:id="rId8" w:anchor="/document/12138258/entry/4922" w:history="1">
        <w:r>
          <w:rPr>
            <w:rStyle w:val="a3"/>
            <w:color w:val="3272C0"/>
            <w:sz w:val="23"/>
            <w:szCs w:val="23"/>
          </w:rPr>
          <w:t>части 2</w:t>
        </w:r>
        <w:r>
          <w:rPr>
            <w:rStyle w:val="a3"/>
            <w:color w:val="3272C0"/>
            <w:sz w:val="16"/>
            <w:szCs w:val="16"/>
            <w:vertAlign w:val="superscript"/>
          </w:rPr>
          <w:t> 2</w:t>
        </w:r>
        <w:r>
          <w:rPr>
            <w:rStyle w:val="a3"/>
            <w:color w:val="3272C0"/>
            <w:sz w:val="23"/>
            <w:szCs w:val="23"/>
          </w:rPr>
          <w:t> статьи 49</w:t>
        </w:r>
      </w:hyperlink>
      <w:r>
        <w:rPr>
          <w:color w:val="22272F"/>
          <w:sz w:val="23"/>
          <w:szCs w:val="23"/>
        </w:rPr>
        <w:t> Градостроительного кодекса Российской Федерации), приобретение оборудования (не бывшего в употреблении или эксплуатации) для обеспечения функционирования существующих или создаваемых в рамках проекта объектов, перечисленных в </w:t>
      </w:r>
      <w:hyperlink r:id="rId9" w:anchor="/document/72260516/entry/111311" w:history="1">
        <w:r>
          <w:rPr>
            <w:rStyle w:val="a3"/>
            <w:color w:val="3272C0"/>
            <w:sz w:val="23"/>
            <w:szCs w:val="23"/>
          </w:rPr>
          <w:t>подпункте "а"</w:t>
        </w:r>
      </w:hyperlink>
      <w:proofErr w:type="gramStart"/>
      <w:r>
        <w:rPr>
          <w:color w:val="22272F"/>
          <w:sz w:val="23"/>
          <w:szCs w:val="23"/>
        </w:rPr>
        <w:t> ;</w:t>
      </w:r>
      <w:proofErr w:type="gramEnd"/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е) 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ж) строительство блочно-модульных котельных и перевод многоквартирных домов на индивидуальное отопление (включая техническое присоединение к газовым сетям), строительство, реконструкция и капитальный ремонт тепловых сетей (за исключением котельных);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з) строительство газораспределительных сетей с распределительными газопроводами низкого давления (для газоснабжения жилых домов, общественных зданий и коммунально-бытовых предприятий) и среднего давления (для подачи газа в газопровод низкого давления);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и) строительство, приобретение и монтаж газо-поршневых установок, газгольдеров;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к) строительство, реконструкция и капитальный ремонт электрических сетей уличного освещения, установка электрооборудования для уличного освещения (при условии обязательного использования энергосберегающих технологий);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л) строительство и оборудование автономных и возобновляемых источников энергии для энергообеспечения объектов жилого и нежилого фонда (объектов социального назначения);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м) развитие телекоммуникаций (строительство (прокладка) линий передачи данных, приобретение и монтаж оборудования, </w:t>
      </w:r>
      <w:proofErr w:type="gramStart"/>
      <w:r>
        <w:rPr>
          <w:color w:val="22272F"/>
          <w:sz w:val="23"/>
          <w:szCs w:val="23"/>
        </w:rPr>
        <w:t>обеспечивающего</w:t>
      </w:r>
      <w:proofErr w:type="gramEnd"/>
      <w:r>
        <w:rPr>
          <w:color w:val="22272F"/>
          <w:sz w:val="23"/>
          <w:szCs w:val="23"/>
        </w:rPr>
        <w:t xml:space="preserve"> в том числе возможность беспроводного подключения к информационно-телекоммуникационной сети "Интернет") объектов жилого и нежилого фонда (объектов социального назначения);</w:t>
      </w:r>
    </w:p>
    <w:p w:rsidR="002A574A" w:rsidRDefault="002A574A" w:rsidP="002A574A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3"/>
          <w:szCs w:val="23"/>
        </w:rPr>
      </w:pPr>
      <w:bookmarkStart w:id="0" w:name="_GoBack"/>
      <w:bookmarkEnd w:id="0"/>
      <w:r>
        <w:rPr>
          <w:color w:val="22272F"/>
          <w:sz w:val="23"/>
          <w:szCs w:val="23"/>
        </w:rPr>
        <w:t>н) строительство объектов (зданий) для размещения в них многофункциональных государственных и муниципальных организаций, включая организации, указанные в </w:t>
      </w:r>
      <w:hyperlink r:id="rId10" w:anchor="/document/72260516/entry/111311" w:history="1">
        <w:r>
          <w:rPr>
            <w:rStyle w:val="a3"/>
            <w:color w:val="3272C0"/>
            <w:sz w:val="23"/>
            <w:szCs w:val="23"/>
          </w:rPr>
          <w:t>подпункте "а"</w:t>
        </w:r>
      </w:hyperlink>
      <w:r>
        <w:rPr>
          <w:color w:val="22272F"/>
          <w:sz w:val="23"/>
          <w:szCs w:val="23"/>
        </w:rPr>
        <w:t> , а также иные государственные и муниципальные организации и учреждения.</w:t>
      </w:r>
    </w:p>
    <w:p w:rsidR="0084100E" w:rsidRDefault="0084100E" w:rsidP="002A574A">
      <w:pPr>
        <w:autoSpaceDE w:val="0"/>
        <w:autoSpaceDN w:val="0"/>
        <w:adjustRightInd w:val="0"/>
        <w:ind w:firstLine="540"/>
        <w:jc w:val="both"/>
      </w:pPr>
    </w:p>
    <w:sectPr w:rsidR="0084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41"/>
    <w:rsid w:val="002A574A"/>
    <w:rsid w:val="00430241"/>
    <w:rsid w:val="00470822"/>
    <w:rsid w:val="008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A57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5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A57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5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Ивкина</dc:creator>
  <cp:lastModifiedBy>Екатерина Викторовна Ивкина</cp:lastModifiedBy>
  <cp:revision>2</cp:revision>
  <dcterms:created xsi:type="dcterms:W3CDTF">2022-10-31T05:38:00Z</dcterms:created>
  <dcterms:modified xsi:type="dcterms:W3CDTF">2022-10-31T05:38:00Z</dcterms:modified>
</cp:coreProperties>
</file>