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5D7836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22</w:t>
      </w:r>
      <w:r w:rsidR="00155AF4">
        <w:rPr>
          <w:rFonts w:ascii="Times New Roman" w:hAnsi="Times New Roman"/>
          <w:b/>
          <w:sz w:val="28"/>
          <w:szCs w:val="20"/>
        </w:rPr>
        <w:t xml:space="preserve"> сентября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93591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D7836" w:rsidRPr="005D78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 р</w:t>
      </w:r>
      <w:r w:rsidR="005D7836" w:rsidRPr="005D78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5D7836" w:rsidRPr="005D78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гиональном государственном контроле (надзоре) в области розничной продажи алкогольной и спиртосодержащей продукции на территории Забайкальского края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36"/>
        <w:gridCol w:w="3168"/>
        <w:gridCol w:w="7495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836" w:rsidRPr="005D7836" w:rsidRDefault="005D7836" w:rsidP="005D7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Согласно подпункту «в» пункта 4 положения предметом госуда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ственного регионального контроля является соблюдение контролир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у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емыми лицами обязательных требований к декларированию объема розничной продажи алкогольной и спиртосодержащей продукции, </w:t>
            </w:r>
            <w:r w:rsidRPr="005D7836">
              <w:rPr>
                <w:rFonts w:ascii="Times New Roman" w:hAnsi="Times New Roman"/>
                <w:sz w:val="24"/>
                <w:szCs w:val="24"/>
                <w:u w:val="single"/>
              </w:rPr>
              <w:t>объема собранного винограда для производства винодельческой пр</w:t>
            </w:r>
            <w:r w:rsidRPr="005D783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  <w:u w:val="single"/>
              </w:rPr>
              <w:t>дукции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. Указанная норма продублирована из статьи 6 Федерального закона от 22.11.1995 N 171-ФЗ "О государственном регулировании производства и оборота этилового спирта, алкогольной и спиртос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держащей продукции и об ограничении потребления (распития) алк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гольной продукции". Вместе с тем Забайкальский край не относится к регионам культивирования винограда, в </w:t>
            </w:r>
            <w:proofErr w:type="gramStart"/>
            <w:r w:rsidRPr="005D783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5D7836">
              <w:rPr>
                <w:rFonts w:ascii="Times New Roman" w:hAnsi="Times New Roman"/>
                <w:sz w:val="24"/>
                <w:szCs w:val="24"/>
              </w:rPr>
              <w:t xml:space="preserve"> с чем указан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ое пол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жение предлагаем исключить. </w:t>
            </w:r>
          </w:p>
          <w:p w:rsidR="005D7836" w:rsidRPr="005D7836" w:rsidRDefault="005D7836" w:rsidP="005D7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D7836">
              <w:rPr>
                <w:rFonts w:ascii="Times New Roman" w:hAnsi="Times New Roman"/>
                <w:sz w:val="24"/>
                <w:szCs w:val="24"/>
              </w:rPr>
              <w:t>В соответствии с ч. 3, 4 статьи 25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         № 248-ФЗ) для объектов контроля, отнесенных к категориям высокого или значительного риска, устанавливается средняя частота провед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ния плановых контрольных (надзорных) мероприятий - не менее 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д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ного контрольного (надзорного) мероприятия в четыре года и не б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лее одного контрольного (надзорного</w:t>
            </w:r>
            <w:proofErr w:type="gramEnd"/>
            <w:r w:rsidRPr="005D7836">
              <w:rPr>
                <w:rFonts w:ascii="Times New Roman" w:hAnsi="Times New Roman"/>
                <w:sz w:val="24"/>
                <w:szCs w:val="24"/>
              </w:rPr>
              <w:t>) мероприятия в два года, а для об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ъ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ь</w:t>
            </w:r>
            <w:r w:rsidRPr="005D7836">
              <w:rPr>
                <w:rFonts w:ascii="Times New Roman" w:hAnsi="Times New Roman"/>
                <w:sz w:val="24"/>
                <w:szCs w:val="24"/>
              </w:rPr>
              <w:lastRenderedPageBreak/>
              <w:t>ного (надзорного) мероприятия в шесть лет и не более одного ко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трольного (надзорного)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ия в три года (приложение № 1).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Вместе с тем в положении конкретная периодичность не устано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в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лена, а лишь продублирована норма федерального закона, что может привести к произвольному толкованию контролирующим органом указа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ного срока и применение его в отношении разных субъектов регулиров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ния по собственному усмотрению. </w:t>
            </w:r>
          </w:p>
          <w:p w:rsidR="005D7836" w:rsidRPr="005D7836" w:rsidRDefault="005D7836" w:rsidP="005D7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Частью 1 статьи 45 Федерального закона № 248-ФЗ установлены виды профилактических мероприятий, которые контрольные (</w:t>
            </w:r>
            <w:proofErr w:type="gramStart"/>
            <w:r w:rsidRPr="005D7836">
              <w:rPr>
                <w:rFonts w:ascii="Times New Roman" w:hAnsi="Times New Roman"/>
                <w:sz w:val="24"/>
                <w:szCs w:val="24"/>
              </w:rPr>
              <w:t>надзо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ные) </w:t>
            </w:r>
            <w:proofErr w:type="gramEnd"/>
            <w:r w:rsidRPr="005D7836">
              <w:rPr>
                <w:rFonts w:ascii="Times New Roman" w:hAnsi="Times New Roman"/>
                <w:sz w:val="24"/>
                <w:szCs w:val="24"/>
              </w:rPr>
              <w:t>органы могут проводить. В проекте Положения не установлены такие виды профилактических мероприятий, как меры стимулиров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ния до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б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росовестности и </w:t>
            </w:r>
            <w:proofErr w:type="spellStart"/>
            <w:r w:rsidRPr="005D7836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5D7836">
              <w:rPr>
                <w:rFonts w:ascii="Times New Roman" w:hAnsi="Times New Roman"/>
                <w:sz w:val="24"/>
                <w:szCs w:val="24"/>
              </w:rPr>
              <w:t>. Предлагаем в Положении закрепить профилактические мероприятия, такие как, стимулирование добросовестности, так как это нематериальное поощрение тех, кто добросовестно соблюдает обязательные требования с целью мотив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ции контролируемых лиц к соблюдению обязательных требований, а также </w:t>
            </w:r>
            <w:proofErr w:type="spellStart"/>
            <w:r w:rsidRPr="005D7836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5D7836">
              <w:rPr>
                <w:rFonts w:ascii="Times New Roman" w:hAnsi="Times New Roman"/>
                <w:sz w:val="24"/>
                <w:szCs w:val="24"/>
              </w:rPr>
              <w:t xml:space="preserve"> в целях добровольного определения контр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лируемыми лицами уровня соблюдения ими обязательных требов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:rsidR="005D7836" w:rsidRPr="005D7836" w:rsidRDefault="005D7836" w:rsidP="005D7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Положением установлено, что должностными лицами, уполном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ченными на принятие решения о проведении контрольных (надзо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ных) мероприятий в рамках регионального государственного ко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троля (надзора) являются руководитель контрольного (надзорного) органа либо лицо, исполняющее его обязанности (пункт 5). Разделом VI п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ложения предусмотрен порядок обжалования таких решений, согласно пункту 49 жалоба рассматривается руководителем, в том числе и жалобы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ешения, принятые руководителем. 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Главой 9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дерального закона № 248-ФЗ определен порядок обжалования реш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ний, действий (бездействия) их должностных лиц при осуществлении государственного контроля (надзора). В соответствии с частью 3 ст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тьи 40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№ 248-ФЗ положением о виде контроля может быть предусмотрено создание в контрольном (надзорном) 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гане из числа его должностных лиц коллегиального органа (коллег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альных органов) для рассмотрения жалоб. Учитывая, что РСТ Заба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й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кальского края не имеет вышестоящего органа, который вправе ра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с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сматривать жалобы на решения, а также де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й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ствия (бездействия) его должностных лиц в порядке подчиненности, полагаем целесообра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з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ным создание при РСТ коллегиального органа для исключения фо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мального и необъективного рассмотрения жалоб подконтрольных лиц. </w:t>
            </w:r>
          </w:p>
          <w:p w:rsidR="000024A0" w:rsidRPr="003A2094" w:rsidRDefault="005D7836" w:rsidP="005D7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В соответствии с ч. 4 статьи 90 ФЗ № 248-ФЗ установлено, что п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ложением о виде контроля могут быть предусмотрены случаи, при к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торых предусмотренные пунктом 3 части 2 </w:t>
            </w:r>
            <w:r>
              <w:rPr>
                <w:rFonts w:ascii="Times New Roman" w:hAnsi="Times New Roman"/>
                <w:sz w:val="24"/>
                <w:szCs w:val="24"/>
              </w:rPr>
              <w:t>указанной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 xml:space="preserve"> статьи меры не принимаются (в части административных правонарушений), если выданное предписание об устранении нарушений обязательных тр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ний исполнено контролируемым лицом надлежащим образом. Предлагаем предусмотреть  случаи, при которых меры  по привлеч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нию виновных лиц к установленной законом ответственности не пр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нимаются,  если выданное предписание об устранении нарушений обязательных требований исполнено контролируемым лицом надл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836">
              <w:rPr>
                <w:rFonts w:ascii="Times New Roman" w:hAnsi="Times New Roman"/>
                <w:sz w:val="24"/>
                <w:szCs w:val="24"/>
              </w:rPr>
              <w:t>жащим образом.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5D7836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836" w:rsidRDefault="005D7836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</w:t>
            </w:r>
            <w:r w:rsid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bookmarkStart w:id="0" w:name="_GoBack"/>
            <w:bookmarkEnd w:id="0"/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836" w:rsidRDefault="005D7836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D7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Богомазова</w:t>
            </w:r>
            <w:proofErr w:type="spellEnd"/>
            <w:r w:rsidRPr="005D7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Дми</w:t>
            </w:r>
            <w:r w:rsidRPr="005D7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D7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риевна</w:t>
            </w:r>
          </w:p>
          <w:p w:rsidR="005D7836" w:rsidRDefault="001A4BD5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Зарянова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Але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сандровна</w:t>
            </w:r>
          </w:p>
          <w:p w:rsidR="001A4BD5" w:rsidRDefault="001A4BD5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Косьяненко Ирина Иг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ревна</w:t>
            </w:r>
          </w:p>
          <w:p w:rsidR="001A4BD5" w:rsidRDefault="001A4BD5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Литавина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Миха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ловна</w:t>
            </w:r>
          </w:p>
          <w:p w:rsidR="001A4BD5" w:rsidRDefault="001A4BD5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Михайлов Дмитрий Михайлович</w:t>
            </w:r>
          </w:p>
          <w:p w:rsidR="001A4BD5" w:rsidRDefault="001A4BD5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Михайлова Любовь А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тоновна</w:t>
            </w:r>
          </w:p>
          <w:p w:rsidR="001A4BD5" w:rsidRDefault="001A4BD5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Салапина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Викт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ровна</w:t>
            </w:r>
          </w:p>
          <w:p w:rsidR="001A4BD5" w:rsidRDefault="001A4BD5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«Вектор</w:t>
            </w:r>
          </w:p>
          <w:p w:rsidR="001A4BD5" w:rsidRDefault="00C17E8C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«Караван+»</w:t>
            </w:r>
          </w:p>
          <w:p w:rsidR="00C17E8C" w:rsidRDefault="00C17E8C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«Караван-</w:t>
            </w:r>
            <w:proofErr w:type="spellStart"/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Лайт</w:t>
            </w:r>
            <w:proofErr w:type="spellEnd"/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7E8C" w:rsidRDefault="00C17E8C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«Караван-Сити»</w:t>
            </w:r>
          </w:p>
          <w:p w:rsidR="00C17E8C" w:rsidRDefault="00C17E8C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«Караван Сосновый»</w:t>
            </w:r>
          </w:p>
          <w:p w:rsidR="00C17E8C" w:rsidRDefault="00C17E8C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«Караван Чита»</w:t>
            </w:r>
          </w:p>
          <w:p w:rsidR="00C17E8C" w:rsidRDefault="00C17E8C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«Караван Шатры»</w:t>
            </w:r>
          </w:p>
          <w:p w:rsidR="00C17E8C" w:rsidRDefault="00C17E8C" w:rsidP="00D66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Караванъ</w:t>
            </w:r>
            <w:proofErr w:type="spellEnd"/>
            <w:r w:rsidRPr="00C17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0D" w:rsidRPr="00D6600D" w:rsidRDefault="00D6600D" w:rsidP="00D66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ab/>
              <w:t>В пункте 36 проекта постановления Правительства Забайкал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ского края «Об утверждении Положения о региональном госуда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ственном контроле (надзоре) в области розничной продажи алкогол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 xml:space="preserve">ной и спиртосодержащей продукции на территории Забайкальского края»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(далее - проект постановления) 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имеется ссылка на пункты б-г пункта 33 (в пункте 33 проекта постановления»  пунктов б-г нет);</w:t>
            </w:r>
          </w:p>
          <w:p w:rsidR="00D6600D" w:rsidRPr="00D6600D" w:rsidRDefault="00D6600D" w:rsidP="00D66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gramStart"/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 xml:space="preserve">В пункте 37 проекта постановления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меется ссылка на пункты б-г пункта 33 в пункте 33 проекта постановления Правительства З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байкальского края «Об утверждении Положения о региональном го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ударственном контроле (надзоре) в области розничной продажи алк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гольной и спиртосодержащей продукции на территории Забайкал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ского края»  пунктов б-г нет);</w:t>
            </w:r>
            <w:proofErr w:type="gramEnd"/>
          </w:p>
          <w:p w:rsidR="00D6600D" w:rsidRPr="00F979C7" w:rsidRDefault="00D6600D" w:rsidP="00D6600D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ab/>
              <w:t>В пункте 44 проекта постановления Правительства Забайкал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ского края «Об утверждении Положения о региональном госуда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ственном контроле (надзоре) в области розничной продажи алкогол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ной и спиртосодержащей продукции на территории Забайкальского края» содержатся только 2 случая невозможности присутствия инд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видуального предпринимателя на проверке: временная нетрудосп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 xml:space="preserve">собность и препятствие в результате непреодолимой силы. 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При этом непонятно что подразумевается под препятствием в результате непр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одолимой силы.</w:t>
            </w:r>
          </w:p>
          <w:p w:rsidR="00D6600D" w:rsidRPr="00D6600D" w:rsidRDefault="00D6600D" w:rsidP="00D66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Соответственно, принятие </w:t>
            </w:r>
            <w:proofErr w:type="gramStart"/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данного</w:t>
            </w:r>
            <w:proofErr w:type="gramEnd"/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 xml:space="preserve"> НПА повлечет за собой нарушение прав предпринимателей.</w:t>
            </w:r>
          </w:p>
          <w:p w:rsidR="00D6600D" w:rsidRPr="00D6600D" w:rsidRDefault="00D6600D" w:rsidP="00D66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 пункте 61 проекта постановления указан  индикатор риска-  3 заявления о каких-либо фактах нарушения за 1 месяц от любых лиц, включая </w:t>
            </w:r>
            <w:r w:rsidR="00F979C7">
              <w:rPr>
                <w:rFonts w:ascii="Times New Roman" w:hAnsi="Times New Roman"/>
                <w:bCs/>
                <w:sz w:val="24"/>
                <w:szCs w:val="24"/>
              </w:rPr>
              <w:t>СМИ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 xml:space="preserve">. То есть 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принятие данного </w:t>
            </w:r>
            <w:r w:rsidR="00F979C7"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положения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даст возмо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ж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ность для н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добросовестной конкуренции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979C7" w:rsidRDefault="00D6600D" w:rsidP="00F352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     О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 xml:space="preserve">дним из индикаторов риска в проекте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остановления указано двукратное и более снижение количества продаж маркированной а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когольной продукции организациями, имеющими лицензию на ро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>ничную продажу алкогольной продукции</w:t>
            </w:r>
            <w:r>
              <w:t xml:space="preserve"> </w:t>
            </w:r>
            <w:r w:rsidRPr="00D6600D">
              <w:rPr>
                <w:rFonts w:ascii="Times New Roman" w:hAnsi="Times New Roman"/>
                <w:bCs/>
                <w:sz w:val="24"/>
                <w:szCs w:val="24"/>
              </w:rPr>
              <w:t xml:space="preserve">по объекту торговли по данным системы ЕГАИС за период времени, равный 12 месяцам. Но такое 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снижение может быть обусловлено экономическими, социал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ь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ными и иными причинами, соответственно данный критерий недоп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</w:t>
            </w:r>
            <w:r w:rsidRPr="00F979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стим в качестве использования как индикатора риска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600D" w:rsidRDefault="00F979C7" w:rsidP="00F352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4BD5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 xml:space="preserve">убъектам предпринимательской деятельности 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потребуется пр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влечение дополнительных трудовых ресурсов в частности специал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стов, которые будут исполнять все функции, связанные с сопрово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ж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дением и проведением дополнительных проверок, которые планир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ется пр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</w:t>
            </w:r>
            <w:r w:rsidR="00F35223" w:rsidRPr="001A4B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водить согласно  проекта постановления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 xml:space="preserve"> (ответы на запросы, пред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ставление документов и т.д.)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ак правило, субъекты среднего и малого предпринимательства не имеют в штате таких специалистов, поэтому это повлечет дополн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тельные расходы.</w:t>
            </w:r>
          </w:p>
          <w:p w:rsidR="00F979C7" w:rsidRDefault="001A4BD5" w:rsidP="00F352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F979C7">
              <w:rPr>
                <w:rFonts w:ascii="Times New Roman" w:hAnsi="Times New Roman"/>
                <w:bCs/>
                <w:sz w:val="24"/>
                <w:szCs w:val="24"/>
              </w:rPr>
              <w:t>В представленной редакции проект постановления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 xml:space="preserve"> вообще не до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 xml:space="preserve">жен приниматься, поскольку содержит существенные недоработки 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внутри документа, а именно: </w:t>
            </w:r>
          </w:p>
          <w:p w:rsidR="00F35223" w:rsidRPr="00F35223" w:rsidRDefault="00F979C7" w:rsidP="00F352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пункте 36 проекта постановления Правител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ства Забайкальского края «Об утверждении Положения о региональном государственном ко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троле (надзоре) в области розничной продажи алкогольной и спирт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содержащей продукции на территории Заба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кальского края» имеется ссылка на пункты б-г пункта 33 (в пункте 33 проекта постановления Правительства Забайкальского края «Об утверждении Положения о региональном государственном контроле (надзоре) в области розни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ной продажи алкогольной и спиртосодержащей продукции на терр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тории</w:t>
            </w:r>
            <w:proofErr w:type="gramEnd"/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Забайкальского края»  пунктов б-г нет);</w:t>
            </w:r>
          </w:p>
          <w:p w:rsidR="00F35223" w:rsidRPr="0010175C" w:rsidRDefault="00F979C7" w:rsidP="00F352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 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пункте 37 проекта постановления Правительства Забайкальского края «Об утверждении Положения о региональном государственном контроле (надзоре) в области розничной продажи алкогольной и спиртосодержащей проду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ции на территории Забайкальского края» имеется ссылка на пункты б-г пункта 33 в пункте 33 проекта пост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новления Правительства Забайкальского края «Об утверждении П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ложения о региональном государственном контроле (надзоре) в обл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сти розни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ной продажи алкогольной и спиртосодержащей продукции на</w:t>
            </w:r>
            <w:proofErr w:type="gramEnd"/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 xml:space="preserve"> терр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35223" w:rsidRPr="00F35223">
              <w:rPr>
                <w:rFonts w:ascii="Times New Roman" w:hAnsi="Times New Roman"/>
                <w:bCs/>
                <w:sz w:val="24"/>
                <w:szCs w:val="24"/>
              </w:rPr>
              <w:t>тории Забайкальского края»  пунктов б-г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ет).*</w:t>
            </w:r>
          </w:p>
        </w:tc>
      </w:tr>
    </w:tbl>
    <w:p w:rsidR="0088035D" w:rsidRDefault="0088035D" w:rsidP="00D6600D">
      <w:pPr>
        <w:pStyle w:val="ConsPlusNormal"/>
        <w:ind w:firstLine="0"/>
        <w:rPr>
          <w:rFonts w:ascii="Times New Roman" w:hAnsi="Times New Roman" w:cs="Times New Roman"/>
        </w:rPr>
      </w:pPr>
    </w:p>
    <w:p w:rsidR="00F979C7" w:rsidRPr="00FB48B0" w:rsidRDefault="00F979C7" w:rsidP="00D6600D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Минэкономразвития края уточняется представленные замечания по пунктам 36 и 37 проекта постановл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ния, поскольку в представленном проекте постановления в пункте 33 имеются подпункты «б</w:t>
      </w:r>
      <w:proofErr w:type="gramStart"/>
      <w:r>
        <w:rPr>
          <w:rFonts w:ascii="Times New Roman" w:hAnsi="Times New Roman" w:cs="Times New Roman"/>
        </w:rPr>
        <w:t>»-</w:t>
      </w:r>
      <w:proofErr w:type="gramEnd"/>
      <w:r>
        <w:rPr>
          <w:rFonts w:ascii="Times New Roman" w:hAnsi="Times New Roman" w:cs="Times New Roman"/>
        </w:rPr>
        <w:t>«г».</w:t>
      </w:r>
    </w:p>
    <w:sectPr w:rsidR="00F979C7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D5" w:rsidRDefault="001A4BD5" w:rsidP="00A65223">
      <w:pPr>
        <w:spacing w:after="0" w:line="240" w:lineRule="auto"/>
      </w:pPr>
      <w:r>
        <w:separator/>
      </w:r>
    </w:p>
  </w:endnote>
  <w:endnote w:type="continuationSeparator" w:id="0">
    <w:p w:rsidR="001A4BD5" w:rsidRDefault="001A4BD5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D5" w:rsidRDefault="001A4BD5" w:rsidP="00A65223">
      <w:pPr>
        <w:spacing w:after="0" w:line="240" w:lineRule="auto"/>
      </w:pPr>
      <w:r>
        <w:separator/>
      </w:r>
    </w:p>
  </w:footnote>
  <w:footnote w:type="continuationSeparator" w:id="0">
    <w:p w:rsidR="001A4BD5" w:rsidRDefault="001A4BD5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4BD5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C1690"/>
    <w:rsid w:val="005C31B7"/>
    <w:rsid w:val="005C6D33"/>
    <w:rsid w:val="005D7836"/>
    <w:rsid w:val="005D7C8A"/>
    <w:rsid w:val="00602EF1"/>
    <w:rsid w:val="006061BA"/>
    <w:rsid w:val="006111D4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914"/>
    <w:rsid w:val="00935FAC"/>
    <w:rsid w:val="00940573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2DC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17E8C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6600D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5223"/>
    <w:rsid w:val="00F4139C"/>
    <w:rsid w:val="00F63F7F"/>
    <w:rsid w:val="00F7470D"/>
    <w:rsid w:val="00F91C6A"/>
    <w:rsid w:val="00F9487C"/>
    <w:rsid w:val="00F979C7"/>
    <w:rsid w:val="00F97CB1"/>
    <w:rsid w:val="00FB48B0"/>
    <w:rsid w:val="00FB6614"/>
    <w:rsid w:val="00FC071F"/>
    <w:rsid w:val="00FC3A38"/>
    <w:rsid w:val="00FC5AC5"/>
    <w:rsid w:val="00FD0D68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96D3-C917-4648-8E66-3669FDC8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2021-07-26T07:31:00Z</cp:lastPrinted>
  <dcterms:created xsi:type="dcterms:W3CDTF">2021-09-23T09:25:00Z</dcterms:created>
  <dcterms:modified xsi:type="dcterms:W3CDTF">2021-09-23T09:25:00Z</dcterms:modified>
</cp:coreProperties>
</file>