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FA6E21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25</w:t>
      </w:r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 w:rsidR="00155AF4"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A6E21" w:rsidRPr="00FA6E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р</w:t>
      </w:r>
      <w:r w:rsidR="00FA6E21" w:rsidRPr="00FA6E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FA6E21" w:rsidRPr="00FA6E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гиональном государственном жилищном надзоре в Забайкальском крае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21" w:rsidRPr="00FA6E21" w:rsidRDefault="00FA6E21" w:rsidP="00FA6E21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ч. 3, 4 статьи 25 Федерального закона от 31.07.2020 № 248-ФЗ «О государственном контроле (надзоре) и мун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и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ципальном контроле в Российской Федерации» (далее – Федеральный закон   № 248-ФЗ) для объектов контроля, отнесенных к категориям высокого или значительного риска, устанавливается средняя част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</w:t>
            </w:r>
            <w:proofErr w:type="gramEnd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) мероприятия в два года, а для объектов контроля, отнесенных к категориям среднего и ум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ного контрольного (надзорного) мероприятия в три года (прилож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ние № 1).</w:t>
            </w:r>
          </w:p>
          <w:p w:rsidR="00FA6E21" w:rsidRPr="00FA6E21" w:rsidRDefault="00FA6E21" w:rsidP="00FA6E21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Вместе с тем в положении конкретная периодичность не установл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на, что может привести к произвольному толкованию контролир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у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ющим органом указанного срока и применение его в отношении ра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ных субъектов регулирования по собственному усмотрению. </w:t>
            </w:r>
          </w:p>
          <w:p w:rsidR="00FA6E21" w:rsidRPr="00FA6E21" w:rsidRDefault="00FA6E21" w:rsidP="00FA6E21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Частью 1 статьи 45 Федерального закона № 248-ФЗ установлены виды профилактических мероприятий, которые контрольные (</w:t>
            </w:r>
            <w:proofErr w:type="gramStart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надзорные) </w:t>
            </w:r>
            <w:proofErr w:type="gramEnd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органы могут проводить. В проекте Положения не установлены такие виды профилактических мероприятий, как меры стимулирования добросовестности и </w:t>
            </w:r>
            <w:proofErr w:type="spellStart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самообследование</w:t>
            </w:r>
            <w:proofErr w:type="spellEnd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. </w:t>
            </w:r>
          </w:p>
          <w:p w:rsidR="00FA6E21" w:rsidRPr="00FA6E21" w:rsidRDefault="00FA6E21" w:rsidP="00FA6E21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Предлагаем в Положении закрепить профилактические мероприятия, такие как, стимулирование добросовестности, так как это немат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lastRenderedPageBreak/>
              <w:t>риальное поощрение тех, кто добросовестно соблюдает обязател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ь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ные требования с целью мотивации контролируемых лиц к соблюд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нию обязательных требований, а также </w:t>
            </w:r>
            <w:proofErr w:type="spellStart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самообследование</w:t>
            </w:r>
            <w:proofErr w:type="spellEnd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в целях добровольного определения контролируемыми лицами уровня собл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ю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дения ими обязательных требований. </w:t>
            </w:r>
          </w:p>
          <w:p w:rsidR="000024A0" w:rsidRPr="003A2094" w:rsidRDefault="00FA6E21" w:rsidP="00FA6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ч. 4 статьи 90 ФЗ № 248-ФЗ установлено, что п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ложением о вид</w:t>
            </w:r>
            <w:bookmarkStart w:id="0" w:name="_GoBack"/>
            <w:bookmarkEnd w:id="0"/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 контроля могут быть предусмотрены случаи, при которых предусмотренные пунктом 3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 Предлагаем предусмотреть  случаи, при которых меры  по привлеч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нию виновных лиц к установленной законом ответственности не принимаются,  если выданное предписание об устранении нарушений обязательных требований исполнено контролируемым лицом надл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FA6E21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жащим образом.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3950-D0CD-414C-8BB4-B404D79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Баяровна</cp:lastModifiedBy>
  <cp:revision>4</cp:revision>
  <cp:lastPrinted>2021-07-26T07:31:00Z</cp:lastPrinted>
  <dcterms:created xsi:type="dcterms:W3CDTF">2021-10-11T07:57:00Z</dcterms:created>
  <dcterms:modified xsi:type="dcterms:W3CDTF">2021-10-25T00:58:00Z</dcterms:modified>
</cp:coreProperties>
</file>