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24352C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9</w:t>
      </w:r>
      <w:r w:rsidR="00155AF4">
        <w:rPr>
          <w:rFonts w:ascii="Times New Roman" w:hAnsi="Times New Roman"/>
          <w:b/>
          <w:sz w:val="28"/>
          <w:szCs w:val="20"/>
        </w:rPr>
        <w:t xml:space="preserve"> </w:t>
      </w:r>
      <w:r w:rsidR="00613E26">
        <w:rPr>
          <w:rFonts w:ascii="Times New Roman" w:hAnsi="Times New Roman"/>
          <w:b/>
          <w:sz w:val="28"/>
          <w:szCs w:val="20"/>
        </w:rPr>
        <w:t>феврал</w:t>
      </w:r>
      <w:r w:rsidR="00155AF4">
        <w:rPr>
          <w:rFonts w:ascii="Times New Roman" w:hAnsi="Times New Roman"/>
          <w:b/>
          <w:sz w:val="28"/>
          <w:szCs w:val="20"/>
        </w:rPr>
        <w:t xml:space="preserve">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613E26">
        <w:rPr>
          <w:rFonts w:ascii="Times New Roman" w:hAnsi="Times New Roman"/>
          <w:b/>
          <w:sz w:val="28"/>
          <w:szCs w:val="20"/>
        </w:rPr>
        <w:t>2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270841" w:rsidRPr="00270841" w:rsidRDefault="0075668A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  <w:r w:rsid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постановления Правительства Забайкальского края</w:t>
      </w:r>
      <w:r w:rsid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внесении изменений в Полож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 о региональном госуда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ственном геологическом контроле (надзоре) на территории Забайкальского края, утвержденное постановлением Правительства Забайкал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24352C" w:rsidRPr="00243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края от 27 декабря 2021 года № 546»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454"/>
        <w:gridCol w:w="7229"/>
      </w:tblGrid>
      <w:tr w:rsidR="0075668A" w:rsidRPr="00EB77BF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Пункт 8.1.2 предусматривает возможность информирования ко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тролируемого лица путем направления информации по электро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ной п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чте, расположенной на официальном сайте контролируемого субъекта. Невозможно достоверно определить актуальность эле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к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тронной почты на сайте контролируемого лица, зачастую сайты т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ряют свою актуальность, не используются организацией, но ост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ются в сети Интернет. Предлагаем исключить это положение. В случае направления информации на электронную почту «при нал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чии сведений у Мин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стерства о действующей электронной почте контролируемого лица» предусмотреть подтверждение получения и прочтения писем адрес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том.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Проектом устанавливается возможность проведения наблюдения за соблюдением обязательных требований (мониторинга безопасн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сти). </w:t>
            </w:r>
            <w:proofErr w:type="gramStart"/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Согласно</w:t>
            </w:r>
            <w:proofErr w:type="gramEnd"/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федерального законодательства контрольные (надзорные) мероприятия без взаимодействия проводятся дол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ж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ностными лицами контрольных (надзорных) органов на основании </w:t>
            </w:r>
            <w:r w:rsidRPr="0024352C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заданий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уполномоченных должностных лиц контрольного (надзорного) органа, включая задания, содержащиеся в планах р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а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боты контрольного (надзорного) органа. Полагаем, что необходимо включить данную норму в Проект, а также разработать порядок оформления задания на проведение контрольных (надзорных) м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роприятий без взаимодействия с контролируемым лицом и закл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ю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чения по результатам мероприятий без взаимодействия с контрол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и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руемым лицом при осуществлении контроля (надзора)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Пункт 7 Проекта допускает дублирование пункта 31.1 (Выездное 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б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следование) - пунктом 6 Проекта уже предусмотрен пункт 31.1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Пункт 8 Проекта устанавливает, что документы, которые </w:t>
            </w:r>
            <w:proofErr w:type="spellStart"/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истреб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ются</w:t>
            </w:r>
            <w:proofErr w:type="spellEnd"/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 ходе КНМ, должны быть представлены контролируемым лицом инспектору в срок, указанный в требовании о предоставл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нии документов (38.4.6). При этом минимальный срок для пред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ставления ничем не регулируется. Для снижения количества пре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д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принимателей, кот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рые, согласно предлагаемо</w:t>
            </w:r>
            <w:r w:rsidR="002A5F41">
              <w:rPr>
                <w:rFonts w:ascii="Times New Roman" w:eastAsiaTheme="minorHAnsi" w:hAnsi="Times New Roman" w:cstheme="minorBidi"/>
                <w:sz w:val="24"/>
                <w:szCs w:val="24"/>
              </w:rPr>
              <w:t>му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пункт</w:t>
            </w:r>
            <w:r w:rsidR="002A5F41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38.4.7, в обязательном порядке должны уведомлять ходатайством в пис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ь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менной форме инспектора о невозможности представления док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ментов в установленный срок, предлагаем установить в п.38.4.6 минимальный срок в требовании “не менее трех рабочих дней”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Обращаем внимание на то, что в п.38.4.2 и в п.38.4.7 установлена 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сылка на пункт 11.1 Положения, однако пункт 11.1 отсутствует в П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ложении и Проекте.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Пункт 38.5.3 определяет, что отбор проб (образцов) осуществляется в количестве, необходимом и достаточном для проведения инстр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ментального обследования, экспертизы. В Положении не регламе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тируется порядок проведения экспертизы, Проектом в пункте 8, к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торый определяет Контрольные (надзорные) действия при ос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ществлении геологического надзора, экспертиза не названа. </w:t>
            </w:r>
          </w:p>
          <w:p w:rsidR="0024352C" w:rsidRPr="0024352C" w:rsidRDefault="0024352C" w:rsidP="0024352C">
            <w:pPr>
              <w:spacing w:before="120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Федеральным законом от 31.07.2020 №248-ФЗ ч. 6 ст.81 определ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е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но, что порядок отбора образцов продукции (товаров) (в том числе виды продукции (товаров), в отношении которых не может ос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ществляться отбор образцов) и количество продукции (товаров), которое может изыматься в качестве образцов, утверждаются п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ложением о виде контроля. В связи с чем, необходимо предусмо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т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реть указанный пор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я</w:t>
            </w:r>
            <w:r w:rsidR="002A5F41">
              <w:rPr>
                <w:rFonts w:ascii="Times New Roman" w:eastAsiaTheme="minorHAnsi" w:hAnsi="Times New Roman" w:cstheme="minorBidi"/>
                <w:sz w:val="24"/>
                <w:szCs w:val="24"/>
              </w:rPr>
              <w:t>док согласно федеральному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законодательств</w:t>
            </w:r>
            <w:r w:rsidR="002A5F41">
              <w:rPr>
                <w:rFonts w:ascii="Times New Roman" w:eastAsiaTheme="minorHAnsi" w:hAnsi="Times New Roman" w:cstheme="minorBidi"/>
                <w:sz w:val="24"/>
                <w:szCs w:val="24"/>
              </w:rPr>
              <w:t>у</w:t>
            </w:r>
            <w:r w:rsidRPr="0024352C"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</w:p>
          <w:p w:rsidR="000024A0" w:rsidRPr="003A2094" w:rsidRDefault="000024A0" w:rsidP="001F50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B0" w:rsidRPr="00FB48B0" w:rsidTr="002A5F41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говых компаний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Забайкальского края»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Мангазея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Майнинг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Урюмкан</w:t>
            </w:r>
            <w:proofErr w:type="spellEnd"/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Рудник Александро</w:t>
            </w:r>
            <w:r w:rsidRPr="002A5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2A5F41" w:rsidRPr="00FB48B0" w:rsidTr="002A5F41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</w:p>
        </w:tc>
        <w:tc>
          <w:tcPr>
            <w:tcW w:w="3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Default="002A5F41" w:rsidP="002A5F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«Артель старателей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Бальджа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41" w:rsidRPr="0010175C" w:rsidRDefault="002A5F41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5F41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p w:rsidR="00E6269C" w:rsidRPr="00FB48B0" w:rsidRDefault="00E6269C" w:rsidP="00E6269C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sectPr w:rsidR="00E6269C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2C" w:rsidRDefault="0024352C" w:rsidP="00A65223">
      <w:pPr>
        <w:spacing w:after="0" w:line="240" w:lineRule="auto"/>
      </w:pPr>
      <w:r>
        <w:separator/>
      </w:r>
    </w:p>
  </w:endnote>
  <w:endnote w:type="continuationSeparator" w:id="0">
    <w:p w:rsidR="0024352C" w:rsidRDefault="0024352C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2C" w:rsidRDefault="0024352C" w:rsidP="00A65223">
      <w:pPr>
        <w:spacing w:after="0" w:line="240" w:lineRule="auto"/>
      </w:pPr>
      <w:r>
        <w:separator/>
      </w:r>
    </w:p>
  </w:footnote>
  <w:footnote w:type="continuationSeparator" w:id="0">
    <w:p w:rsidR="0024352C" w:rsidRDefault="0024352C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BB7-5E6C-4C41-A7B3-43D0B27B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2</cp:revision>
  <cp:lastPrinted>2022-02-07T03:13:00Z</cp:lastPrinted>
  <dcterms:created xsi:type="dcterms:W3CDTF">2022-02-08T01:41:00Z</dcterms:created>
  <dcterms:modified xsi:type="dcterms:W3CDTF">2022-02-08T01:41:00Z</dcterms:modified>
</cp:coreProperties>
</file>