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Pr="00B27DA4" w:rsidRDefault="00C83521" w:rsidP="00B27D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нимателям, оказывающим услуги теплоснабжения, водоснабжения и водоотведения»</w:t>
      </w:r>
      <w:r w:rsidR="00511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27DA4" w:rsidRDefault="00B27DA4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7DA4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жилищно-коммунального хозяйства, энергет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ки, цифровизации и связи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Забайкальского края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00C29" w:rsidRPr="007B52E7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7F3C13">
        <w:rPr>
          <w:rStyle w:val="a7"/>
        </w:rPr>
        <w:t xml:space="preserve">  </w:t>
      </w:r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332D4F">
        <w:rPr>
          <w:rFonts w:ascii="Times New Roman" w:hAnsi="Times New Roman"/>
          <w:b/>
          <w:sz w:val="24"/>
          <w:szCs w:val="24"/>
        </w:rPr>
        <w:t>21.10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332D4F">
        <w:rPr>
          <w:rFonts w:ascii="Times New Roman" w:hAnsi="Times New Roman"/>
          <w:b/>
          <w:sz w:val="24"/>
          <w:szCs w:val="24"/>
        </w:rPr>
        <w:t>11.11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9B4665"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D02354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332D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963"/>
        <w:gridCol w:w="4395"/>
        <w:gridCol w:w="1559"/>
      </w:tblGrid>
      <w:tr w:rsidR="00C83521" w:rsidRPr="00C83521" w:rsidTr="009E7BB9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уполн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моченного органа</w:t>
            </w:r>
          </w:p>
        </w:tc>
      </w:tr>
      <w:tr w:rsidR="00820D87" w:rsidRPr="00C83521" w:rsidTr="009E7BB9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общественной организации «Д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ловая Россия»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байкальский союз предпринимат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94B0E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дентской программы»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E" w:rsidRPr="003A1BB3" w:rsidRDefault="00194B0E" w:rsidP="003A1BB3">
            <w:pPr>
              <w:pStyle w:val="a6"/>
              <w:numPr>
                <w:ilvl w:val="0"/>
                <w:numId w:val="41"/>
              </w:numPr>
              <w:tabs>
                <w:tab w:val="left" w:pos="364"/>
              </w:tabs>
              <w:autoSpaceDE w:val="0"/>
              <w:autoSpaceDN w:val="0"/>
              <w:adjustRightInd w:val="0"/>
              <w:spacing w:line="240" w:lineRule="auto"/>
              <w:ind w:left="8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Норма, указанная в абзаце 2 пункта 3 проекта постановления</w:t>
            </w:r>
            <w:proofErr w:type="gramStart"/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соответств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 принципу правовой определе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ности, ее конструкция, синтаксическое стро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и значение допускает неоднозна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 толкование. Применение в ко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струкц</w:t>
            </w:r>
            <w:r w:rsidR="003A1BB3"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ии нормы составного союза и/или - 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указывает на возможность как одн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временного наличия субъектов (призн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 и т.п.), указанных по обе стороны синта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3A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семы («и»), так и только одного из них («или»). </w:t>
            </w:r>
          </w:p>
          <w:p w:rsidR="00194B0E" w:rsidRDefault="00194B0E" w:rsidP="003A1BB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 предоставление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сидии на финансовое обеспечение затрат </w:t>
            </w:r>
            <w:r>
              <w:rPr>
                <w:rFonts w:ascii="Times New Roman" w:hAnsi="Times New Roman"/>
                <w:sz w:val="24"/>
                <w:szCs w:val="24"/>
              </w:rPr>
              <w:t>вызывает налоговые споры в части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менения вычета НДС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организациями.</w:t>
            </w:r>
          </w:p>
          <w:p w:rsidR="007E60EE" w:rsidRDefault="00194B0E" w:rsidP="003A1BB3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 добавить абзац, 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тором указать, что финансовое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 затрат является составной частью общего объема субсидий,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мых на возмещение недополученных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ходов.</w:t>
            </w:r>
          </w:p>
          <w:p w:rsidR="00194B0E" w:rsidRPr="00194B0E" w:rsidRDefault="00194B0E" w:rsidP="003A1BB3">
            <w:pPr>
              <w:pStyle w:val="a6"/>
              <w:numPr>
                <w:ilvl w:val="0"/>
                <w:numId w:val="41"/>
              </w:numPr>
              <w:tabs>
                <w:tab w:val="left" w:pos="505"/>
              </w:tabs>
              <w:spacing w:line="240" w:lineRule="auto"/>
              <w:ind w:left="8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поправочного коэфф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циента, в случае если лимиты бюдже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ных обязательств, доведенные уполн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моченному органу,  будут меньше, чем </w:t>
            </w:r>
            <w:r w:rsidRPr="00194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объем финансовых средств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заявкам ресурсоснабжающих организ</w:t>
            </w:r>
            <w:r w:rsidRPr="00194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94B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</w:t>
            </w:r>
            <w:r w:rsidR="003A1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4 проекта постановления)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повлечёт уменьшение запрашив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емой суммы субсидии, что будет не соотве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ствовать действующему  законо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ству.</w:t>
            </w:r>
          </w:p>
          <w:p w:rsidR="00194B0E" w:rsidRPr="00194B0E" w:rsidRDefault="00194B0E" w:rsidP="003A1BB3">
            <w:pPr>
              <w:pStyle w:val="a6"/>
              <w:numPr>
                <w:ilvl w:val="0"/>
                <w:numId w:val="41"/>
              </w:numPr>
              <w:tabs>
                <w:tab w:val="left" w:pos="505"/>
              </w:tabs>
              <w:spacing w:line="240" w:lineRule="auto"/>
              <w:ind w:left="8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Пунктом 11 проекта постановл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ния предусматривается право уполномоче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ного органа на продление срока ра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смотрения заявок до 20 календарных дней, что является </w:t>
            </w:r>
            <w:proofErr w:type="spellStart"/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коррупциогенным</w:t>
            </w:r>
            <w:proofErr w:type="spellEnd"/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фактором, поскольку позволяет устан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вить для </w:t>
            </w:r>
            <w:proofErr w:type="spellStart"/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правоприменителя</w:t>
            </w:r>
            <w:proofErr w:type="spellEnd"/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необосн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ванно широкие пределы усмотрения или возможность необоснованного прим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нения исключений из общих правил - отсутствие или неопределенность усл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94B0E">
              <w:rPr>
                <w:rFonts w:ascii="Times New Roman" w:hAnsi="Times New Roman"/>
                <w:color w:val="000000"/>
                <w:sz w:val="24"/>
                <w:szCs w:val="24"/>
              </w:rPr>
              <w:t>вий или оснований принятия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социация инжиниринговых комп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союза промышленников и пре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принимателей в Забайкальском крае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байкальского края»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Забай</w:t>
            </w:r>
            <w:r w:rsidR="005E6C2B">
              <w:rPr>
                <w:rFonts w:ascii="Times New Roman" w:hAnsi="Times New Roman"/>
                <w:sz w:val="24"/>
                <w:szCs w:val="24"/>
              </w:rPr>
              <w:t>кал</w:t>
            </w:r>
            <w:r w:rsidR="005E6C2B">
              <w:rPr>
                <w:rFonts w:ascii="Times New Roman" w:hAnsi="Times New Roman"/>
                <w:sz w:val="24"/>
                <w:szCs w:val="24"/>
              </w:rPr>
              <w:t>ь</w:t>
            </w:r>
            <w:r w:rsidR="005E6C2B">
              <w:rPr>
                <w:rFonts w:ascii="Times New Roman" w:hAnsi="Times New Roman"/>
                <w:sz w:val="24"/>
                <w:szCs w:val="24"/>
              </w:rPr>
              <w:t>ская топливно-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энергетическая ко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м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sz w:val="24"/>
                <w:szCs w:val="24"/>
              </w:rPr>
              <w:t xml:space="preserve">Забайкальская дирекция по </w:t>
            </w:r>
            <w:proofErr w:type="spellStart"/>
            <w:r w:rsidRPr="005E6C2B">
              <w:rPr>
                <w:rFonts w:ascii="Times New Roman" w:hAnsi="Times New Roman"/>
                <w:sz w:val="24"/>
                <w:szCs w:val="24"/>
              </w:rPr>
              <w:t>теплов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доснабжению</w:t>
            </w:r>
            <w:proofErr w:type="spellEnd"/>
            <w:r w:rsidRPr="005E6C2B">
              <w:rPr>
                <w:rFonts w:ascii="Times New Roman" w:hAnsi="Times New Roman"/>
                <w:sz w:val="24"/>
                <w:szCs w:val="24"/>
              </w:rPr>
              <w:t xml:space="preserve"> – структурное подра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з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 xml:space="preserve">деление Центральной дирекции по </w:t>
            </w:r>
            <w:proofErr w:type="spellStart"/>
            <w:r w:rsidRPr="005E6C2B"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 w:rsidRPr="005E6C2B">
              <w:rPr>
                <w:rFonts w:ascii="Times New Roman" w:hAnsi="Times New Roman"/>
                <w:sz w:val="24"/>
                <w:szCs w:val="24"/>
              </w:rPr>
              <w:t xml:space="preserve"> – филиала ОАО «Российские железные дороги»</w:t>
            </w:r>
          </w:p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Территориальная гене</w:t>
            </w:r>
            <w:r>
              <w:rPr>
                <w:rFonts w:ascii="Times New Roman" w:hAnsi="Times New Roman"/>
                <w:sz w:val="24"/>
                <w:szCs w:val="24"/>
              </w:rPr>
              <w:t>рирующая компания № 14»</w:t>
            </w:r>
          </w:p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7261F1" w:rsidRDefault="007261F1" w:rsidP="007261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Произво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д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ственное управление водоснабжения и водоотведения го</w:t>
            </w:r>
            <w:r>
              <w:rPr>
                <w:rFonts w:ascii="Times New Roman" w:hAnsi="Times New Roman"/>
                <w:sz w:val="24"/>
                <w:szCs w:val="24"/>
              </w:rPr>
              <w:t>рода Читы»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61F1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Default="007261F1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B17E96" w:rsidRDefault="00B17E96" w:rsidP="00B17E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E96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B17E96">
              <w:rPr>
                <w:rFonts w:ascii="Times New Roman" w:hAnsi="Times New Roman"/>
                <w:sz w:val="24"/>
                <w:szCs w:val="24"/>
              </w:rPr>
              <w:t>Тепловод</w:t>
            </w:r>
            <w:r w:rsidRPr="00B17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E96">
              <w:rPr>
                <w:rFonts w:ascii="Times New Roman" w:hAnsi="Times New Roman"/>
                <w:sz w:val="24"/>
                <w:szCs w:val="24"/>
              </w:rPr>
              <w:t>канал</w:t>
            </w:r>
            <w:proofErr w:type="spellEnd"/>
            <w:r w:rsidRPr="00B17E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1F1" w:rsidRDefault="007261F1" w:rsidP="007261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C83521" w:rsidRDefault="007261F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E96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Default="00B17E96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pStyle w:val="ConsPlusNormal"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 w:rsidRPr="00803757">
              <w:rPr>
                <w:rFonts w:ascii="Times New Roman" w:hAnsi="Times New Roman"/>
                <w:sz w:val="24"/>
                <w:szCs w:val="24"/>
              </w:rPr>
              <w:t>ПАО «Приаргунское производственное горно-химическое объединение»</w:t>
            </w:r>
          </w:p>
          <w:p w:rsidR="00B17E96" w:rsidRPr="00B17E96" w:rsidRDefault="00B17E96" w:rsidP="00B17E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C83521" w:rsidRDefault="00B17E96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7678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Default="00207678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803757" w:rsidRDefault="00207678" w:rsidP="00803757">
            <w:pPr>
              <w:pStyle w:val="ConsPlusNormal"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«Гарантия»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Default="003901BC" w:rsidP="003901BC">
            <w:pPr>
              <w:pStyle w:val="a6"/>
              <w:numPr>
                <w:ilvl w:val="0"/>
                <w:numId w:val="42"/>
              </w:numPr>
              <w:tabs>
                <w:tab w:val="left" w:pos="364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Проблема, на решение которой </w:t>
            </w:r>
            <w:proofErr w:type="gram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направлен проект постановления не я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ляется</w:t>
            </w:r>
            <w:proofErr w:type="gram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актуальной</w:t>
            </w:r>
            <w:r w:rsidR="007F4D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«так как законод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тельство в сфере </w:t>
            </w:r>
            <w:proofErr w:type="spell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тарифоообразования</w:t>
            </w:r>
            <w:proofErr w:type="spell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, предполагает ко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ректировки по объему выручки, поле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ного отпуска и другим показателям по итогам работы за предыдущие периоды деятельности. На примере расчета нео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ходимой валовой выручки по услуге теплоснабжения: п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лезный отпуск по категории потребит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ля "Население" устанавливается</w:t>
            </w:r>
            <w:proofErr w:type="gram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сл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чае отсутствия актуализированной сх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мы теплоснабжения, по фактическим показат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лям за последний отчетный год в динамике за три последние года. Например то 1000 </w:t>
            </w:r>
            <w:proofErr w:type="spell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гкал</w:t>
            </w:r>
            <w:proofErr w:type="spell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, по итогам раб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ты происходит снижение объема отпу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gram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например 900 </w:t>
            </w:r>
            <w:proofErr w:type="spell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гкал</w:t>
            </w:r>
            <w:proofErr w:type="spell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, соответственно предприятие не доп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лучает выручку на эту разницу. В случае вступления ра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сматриваемого Порядка, и </w:t>
            </w:r>
            <w:proofErr w:type="gram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дополуч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выручки по субсидии. Допустим эта ситуация произошла в 2021г. При уст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новлении тарифов на 2023 г, в долг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срочном пери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де, учитываются выручка и расходы за 2021г., таким </w:t>
            </w:r>
            <w:proofErr w:type="gramStart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образом</w:t>
            </w:r>
            <w:proofErr w:type="gramEnd"/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этот результат деятельности снова учтется при формировании тарифа, либо в п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ложительной динамике, либо в отриц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01BC">
              <w:rPr>
                <w:rFonts w:ascii="Times New Roman" w:hAnsi="Times New Roman"/>
                <w:bCs/>
                <w:sz w:val="24"/>
                <w:szCs w:val="24"/>
              </w:rPr>
              <w:t>тельной.»</w:t>
            </w:r>
          </w:p>
          <w:p w:rsidR="003F2E66" w:rsidRDefault="003F2E66" w:rsidP="007F4D0A">
            <w:pPr>
              <w:pStyle w:val="a6"/>
              <w:tabs>
                <w:tab w:val="left" w:pos="364"/>
              </w:tabs>
              <w:spacing w:line="240" w:lineRule="auto"/>
              <w:ind w:left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01BC" w:rsidRDefault="00211A23" w:rsidP="003901BC">
            <w:pPr>
              <w:pStyle w:val="a6"/>
              <w:numPr>
                <w:ilvl w:val="0"/>
                <w:numId w:val="42"/>
              </w:numPr>
              <w:tabs>
                <w:tab w:val="left" w:pos="364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23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>пункт</w:t>
            </w:r>
            <w:r w:rsidRPr="00211A23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 xml:space="preserve"> 3 прое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 xml:space="preserve">та постановления </w:t>
            </w:r>
            <w:r w:rsidRPr="00211A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>азмер субсидии не м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>жет превышать объем недопол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901BC" w:rsidRPr="00211A23">
              <w:rPr>
                <w:rFonts w:ascii="Times New Roman" w:hAnsi="Times New Roman"/>
                <w:bCs/>
                <w:sz w:val="24"/>
                <w:szCs w:val="24"/>
              </w:rPr>
              <w:t>ченных доходов, установленных РСТ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901BC">
              <w:rPr>
                <w:rFonts w:ascii="Times New Roman" w:hAnsi="Times New Roman"/>
                <w:bCs/>
                <w:sz w:val="24"/>
                <w:szCs w:val="24"/>
              </w:rPr>
              <w:t xml:space="preserve">ким образом, 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если происходит снижение объема отпуска ресурса, то объем средств субсидии снижается, если пр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исходит рост объема отпуска ресурса, то претендовать на дополнительно фина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сирование получатель субсидии не м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жет. Соо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ветственно возникает вопрос, для каких целей разрабатывается док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мент, для снижения нагрузки на бюджет Забай</w:t>
            </w:r>
            <w:r w:rsidR="003901BC">
              <w:rPr>
                <w:rFonts w:ascii="Times New Roman" w:hAnsi="Times New Roman"/>
                <w:bCs/>
                <w:sz w:val="24"/>
                <w:szCs w:val="24"/>
              </w:rPr>
              <w:t>кальского края или приведения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 к тре</w:t>
            </w:r>
            <w:r w:rsidR="003901BC">
              <w:rPr>
                <w:rFonts w:ascii="Times New Roman" w:hAnsi="Times New Roman"/>
                <w:bCs/>
                <w:sz w:val="24"/>
                <w:szCs w:val="24"/>
              </w:rPr>
              <w:t>бования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м законодател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3901BC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 xml:space="preserve"> о выплате недополученных дох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дов, в связи с фактическ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901BC" w:rsidRPr="003901BC">
              <w:rPr>
                <w:rFonts w:ascii="Times New Roman" w:hAnsi="Times New Roman"/>
                <w:bCs/>
                <w:sz w:val="24"/>
                <w:szCs w:val="24"/>
              </w:rPr>
              <w:t>ми расходами.</w:t>
            </w:r>
          </w:p>
          <w:p w:rsidR="003F2E66" w:rsidRPr="003901BC" w:rsidRDefault="003F2E66" w:rsidP="003F2E66">
            <w:pPr>
              <w:pStyle w:val="a6"/>
              <w:tabs>
                <w:tab w:val="left" w:pos="364"/>
              </w:tabs>
              <w:spacing w:line="240" w:lineRule="auto"/>
              <w:ind w:left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01BC" w:rsidRPr="003F2E66" w:rsidRDefault="00DF6F16" w:rsidP="003901BC">
            <w:pPr>
              <w:pStyle w:val="a6"/>
              <w:numPr>
                <w:ilvl w:val="0"/>
                <w:numId w:val="42"/>
              </w:numPr>
              <w:tabs>
                <w:tab w:val="left" w:pos="364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подпункте «а» подпункта</w:t>
            </w:r>
            <w:r w:rsidR="00211A23" w:rsidRPr="004C488A">
              <w:rPr>
                <w:rFonts w:ascii="Times New Roman" w:hAnsi="Times New Roman"/>
                <w:bCs/>
                <w:sz w:val="24"/>
                <w:szCs w:val="24"/>
              </w:rPr>
              <w:t xml:space="preserve"> 2 пункта 10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2E66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постановления 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необходимо разграничить предоставление докуме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тов, в случае</w:t>
            </w:r>
            <w:r w:rsidR="003F2E6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 xml:space="preserve"> если </w:t>
            </w:r>
            <w:proofErr w:type="spellStart"/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Ресурсоснабжающая</w:t>
            </w:r>
            <w:proofErr w:type="spellEnd"/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обращается за предоста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лением субсидии по возмещению нед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полученных доходов только по услуге в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доснабжения (Представляется форма статистич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ской отчетности 22-ЖКХ). Так как получатели субсидии могут быть только недополученные доходы по услуге теплоснабжения, поэтому цел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 xml:space="preserve">сообразности </w:t>
            </w:r>
            <w:proofErr w:type="gramStart"/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представлять о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чет 22-ЖКХ нет</w:t>
            </w:r>
            <w:proofErr w:type="gramEnd"/>
            <w:r w:rsidR="00211A23" w:rsidRPr="003F2E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C83521" w:rsidRDefault="00207678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9E7BB9">
        <w:trPr>
          <w:trHeight w:val="351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9E7BB9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3A1BB3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3521" w:rsidRPr="00C83521" w:rsidTr="009E7BB9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3A1BB3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3521" w:rsidRPr="00C83521" w:rsidTr="009E7BB9">
        <w:trPr>
          <w:trHeight w:val="268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9E7BB9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Эдуардовна_________</w:t>
      </w: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66" w:rsidRDefault="003F2E66" w:rsidP="00A65223">
      <w:pPr>
        <w:spacing w:after="0" w:line="240" w:lineRule="auto"/>
      </w:pPr>
      <w:r>
        <w:separator/>
      </w:r>
    </w:p>
  </w:endnote>
  <w:end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66" w:rsidRDefault="003F2E66" w:rsidP="00A65223">
      <w:pPr>
        <w:spacing w:after="0" w:line="240" w:lineRule="auto"/>
      </w:pPr>
      <w:r>
        <w:separator/>
      </w:r>
    </w:p>
  </w:footnote>
  <w:foot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39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2D4F"/>
    <w:rsid w:val="003362F6"/>
    <w:rsid w:val="00342AE8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C488A"/>
    <w:rsid w:val="004C670B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35EE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4359"/>
    <w:rsid w:val="009B4665"/>
    <w:rsid w:val="009B586A"/>
    <w:rsid w:val="009C2EF5"/>
    <w:rsid w:val="009D4D94"/>
    <w:rsid w:val="009E7BB9"/>
    <w:rsid w:val="009F0227"/>
    <w:rsid w:val="00A0606D"/>
    <w:rsid w:val="00A1058E"/>
    <w:rsid w:val="00A124F8"/>
    <w:rsid w:val="00A15F40"/>
    <w:rsid w:val="00A23BB5"/>
    <w:rsid w:val="00A46853"/>
    <w:rsid w:val="00A54281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17E96"/>
    <w:rsid w:val="00B27DA4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6B94-B9C5-4C60-9A91-98A26072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6</cp:revision>
  <cp:lastPrinted>2022-07-28T07:36:00Z</cp:lastPrinted>
  <dcterms:created xsi:type="dcterms:W3CDTF">2022-11-15T03:05:00Z</dcterms:created>
  <dcterms:modified xsi:type="dcterms:W3CDTF">2022-11-15T03:37:00Z</dcterms:modified>
</cp:coreProperties>
</file>