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A51C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345A2D" w:rsidRPr="00345A2D" w:rsidRDefault="00C83521" w:rsidP="00345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42CB1" w:rsidRPr="00E42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внесении изменений в постановление Правительства Забайкальского края от 13 декабря 2021 года № 489»</w:t>
      </w:r>
      <w:r w:rsidR="00E42CB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5E4D6B" w:rsidRDefault="005E4D6B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FF1B3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</w:t>
      </w:r>
      <w:r w:rsidR="00E50018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служб</w:t>
      </w:r>
      <w:r w:rsidR="00E5001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тарифам и ценообразованию Забайкальского края</w:t>
      </w:r>
      <w:r w:rsidR="00FF1B3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46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5E4D6B" w:rsidRPr="00CA004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https://minek.75.ru/deyatel-nost/ocenka-reguliruyuschego-vozdeystviya/ocenka-proektov/publichnye-konsul-tacii/publichnye-konsul-tacii-po-proektam-normativnyh-pravovyh-aktov/305314-2023</w:t>
        </w:r>
      </w:hyperlink>
      <w:r w:rsidR="005E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0D8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</w:t>
      </w:r>
      <w:r w:rsidR="00E42CB1">
        <w:rPr>
          <w:rFonts w:ascii="Times New Roman" w:hAnsi="Times New Roman"/>
          <w:b/>
        </w:rPr>
        <w:t>12</w:t>
      </w:r>
      <w:r w:rsidR="00857EB4">
        <w:rPr>
          <w:rFonts w:ascii="Times New Roman" w:hAnsi="Times New Roman"/>
          <w:b/>
          <w:sz w:val="24"/>
          <w:szCs w:val="24"/>
        </w:rPr>
        <w:t>.0</w:t>
      </w:r>
      <w:r w:rsidR="00E42CB1">
        <w:rPr>
          <w:rFonts w:ascii="Times New Roman" w:hAnsi="Times New Roman"/>
          <w:b/>
          <w:sz w:val="24"/>
          <w:szCs w:val="24"/>
        </w:rPr>
        <w:t>5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- </w:t>
      </w:r>
      <w:r w:rsidR="00E42CB1">
        <w:rPr>
          <w:rFonts w:ascii="Times New Roman" w:hAnsi="Times New Roman"/>
          <w:b/>
          <w:sz w:val="24"/>
          <w:szCs w:val="24"/>
        </w:rPr>
        <w:t>25</w:t>
      </w:r>
      <w:r w:rsidR="00857EB4">
        <w:rPr>
          <w:rFonts w:ascii="Times New Roman" w:hAnsi="Times New Roman"/>
          <w:b/>
          <w:sz w:val="24"/>
          <w:szCs w:val="24"/>
        </w:rPr>
        <w:t>.05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  <w:r w:rsidR="00AF1097">
        <w:rPr>
          <w:rFonts w:ascii="Times New Roman" w:hAnsi="Times New Roman"/>
          <w:b/>
        </w:rPr>
        <w:t>.</w:t>
      </w:r>
    </w:p>
    <w:p w:rsidR="008D6AFE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AF1097" w:rsidRPr="00AF1097">
        <w:rPr>
          <w:rFonts w:ascii="Times New Roman" w:eastAsia="Times New Roman" w:hAnsi="Times New Roman"/>
          <w:b/>
          <w:sz w:val="24"/>
          <w:szCs w:val="24"/>
          <w:lang w:eastAsia="ru-RU"/>
        </w:rPr>
        <w:t>26</w:t>
      </w:r>
      <w:r w:rsidR="00AF109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C83521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A51C2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E42CB1">
        <w:rPr>
          <w:rFonts w:ascii="Times New Roman" w:eastAsia="Times New Roman" w:hAnsi="Times New Roman"/>
          <w:b/>
          <w:sz w:val="24"/>
          <w:szCs w:val="24"/>
          <w:lang w:eastAsia="ru-RU"/>
        </w:rPr>
        <w:t>30</w:t>
      </w:r>
      <w:r w:rsidR="00857EB4">
        <w:rPr>
          <w:rFonts w:ascii="Times New Roman" w:eastAsia="Times New Roman" w:hAnsi="Times New Roman"/>
          <w:b/>
          <w:sz w:val="24"/>
          <w:szCs w:val="24"/>
          <w:lang w:eastAsia="ru-RU"/>
        </w:rPr>
        <w:t>.05</w:t>
      </w:r>
      <w:r w:rsidR="004024FD">
        <w:rPr>
          <w:rFonts w:ascii="Times New Roman" w:eastAsia="Times New Roman" w:hAnsi="Times New Roman"/>
          <w:b/>
          <w:sz w:val="24"/>
          <w:szCs w:val="24"/>
          <w:lang w:eastAsia="ru-RU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404"/>
        <w:gridCol w:w="6237"/>
        <w:gridCol w:w="1276"/>
      </w:tblGrid>
      <w:tr w:rsidR="00C83521" w:rsidRPr="00350538" w:rsidTr="00121105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Комментарии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 уполномоченного органа</w:t>
            </w:r>
          </w:p>
        </w:tc>
      </w:tr>
      <w:tr w:rsidR="00820D87" w:rsidRPr="00350538" w:rsidTr="00121105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</w:t>
            </w:r>
            <w:r w:rsidR="00582B63"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замечаний </w:t>
            </w: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поступало</w:t>
            </w:r>
          </w:p>
          <w:p w:rsidR="00820D87" w:rsidRPr="00350538" w:rsidRDefault="00820D87" w:rsidP="00A51C27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121105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 xml:space="preserve">Забайкальская краевая общественная организация «Выпускники Президентской программы»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 xml:space="preserve">Уполномоченный по защите прав предпринимателей в Забайкальском крае и </w:t>
            </w:r>
            <w:r w:rsidRPr="00350538">
              <w:rPr>
                <w:rFonts w:ascii="Times New Roman" w:hAnsi="Times New Roman"/>
              </w:rPr>
              <w:lastRenderedPageBreak/>
              <w:t>его рабочий аппарат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0D" w:rsidRPr="00CC2A0D" w:rsidRDefault="00CC2A0D" w:rsidP="00CC2A0D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C2A0D">
              <w:rPr>
                <w:rFonts w:ascii="Times New Roman" w:hAnsi="Times New Roman"/>
              </w:rPr>
              <w:lastRenderedPageBreak/>
              <w:t xml:space="preserve">Министерством экономического развития Российской Федерации 24 марта 2023 года на совещании с субъектами Российской Федерации представлены методические рекомендации по разработке индикаторов риска </w:t>
            </w:r>
            <w:r w:rsidRPr="00CC2A0D">
              <w:rPr>
                <w:rFonts w:ascii="Times New Roman" w:hAnsi="Times New Roman"/>
              </w:rPr>
              <w:lastRenderedPageBreak/>
              <w:t>государственного контроля (надзора) и муниципального контроля (далее – Методические рекомендации).</w:t>
            </w:r>
          </w:p>
          <w:p w:rsidR="00CC2A0D" w:rsidRPr="00CC2A0D" w:rsidRDefault="00CC2A0D" w:rsidP="00CC2A0D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соответствии с указанными М</w:t>
            </w:r>
            <w:r w:rsidRPr="00CC2A0D">
              <w:rPr>
                <w:rFonts w:ascii="Times New Roman" w:hAnsi="Times New Roman"/>
              </w:rPr>
              <w:t xml:space="preserve">етодическими рекомендациями установлено следующее. </w:t>
            </w:r>
          </w:p>
          <w:p w:rsidR="00CC2A0D" w:rsidRPr="00CC2A0D" w:rsidRDefault="00CC2A0D" w:rsidP="00CC2A0D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C2A0D">
              <w:rPr>
                <w:rFonts w:ascii="Times New Roman" w:hAnsi="Times New Roman"/>
              </w:rPr>
              <w:t xml:space="preserve">Проведение внеплановых проверок при срабатывании индикаторов риска является возможностью для контрольного (надзорного) органа минимизировать риск причинения вреда (ущерба) охраняемым законом ценностям. </w:t>
            </w:r>
            <w:proofErr w:type="gramStart"/>
            <w:r w:rsidRPr="00CC2A0D">
              <w:rPr>
                <w:rFonts w:ascii="Times New Roman" w:hAnsi="Times New Roman"/>
              </w:rPr>
              <w:t xml:space="preserve">В части 9 статьи 23 Федерального закона от 31 июля 2020 г. № 248-ФЗ «О государственном контроле (надзоре) и муниципальном контроле в Российской Федерации» (далее – Федеральный закон № 248-ФЗ) установлено определение индикатора риска – «соответствие или отклонение от параметров объекта контроля, которые сами по себе не являются нарушениями обязательных требований, но </w:t>
            </w:r>
            <w:r w:rsidRPr="00CC2A0D">
              <w:rPr>
                <w:rFonts w:ascii="Times New Roman" w:hAnsi="Times New Roman"/>
                <w:b/>
              </w:rPr>
              <w:t>с высокой степенью вероятности</w:t>
            </w:r>
            <w:r w:rsidRPr="00CC2A0D">
              <w:rPr>
                <w:rFonts w:ascii="Times New Roman" w:hAnsi="Times New Roman"/>
              </w:rPr>
              <w:t xml:space="preserve"> свидетельствуют о наличии таких нарушений и риска причинения</w:t>
            </w:r>
            <w:proofErr w:type="gramEnd"/>
            <w:r w:rsidRPr="00CC2A0D">
              <w:rPr>
                <w:rFonts w:ascii="Times New Roman" w:hAnsi="Times New Roman"/>
              </w:rPr>
              <w:t xml:space="preserve"> вреда (ущерба) охраняемым законом ценностям».</w:t>
            </w:r>
          </w:p>
          <w:p w:rsidR="00CC2A0D" w:rsidRPr="00CC2A0D" w:rsidRDefault="00CC2A0D" w:rsidP="00CC2A0D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C2A0D">
              <w:rPr>
                <w:rFonts w:ascii="Times New Roman" w:hAnsi="Times New Roman"/>
              </w:rPr>
              <w:t>Формулировка определения содержит в себе четыре основополагающие характеристики индикатора риска:</w:t>
            </w:r>
          </w:p>
          <w:p w:rsidR="00CC2A0D" w:rsidRPr="00CC2A0D" w:rsidRDefault="00CC2A0D" w:rsidP="00CC2A0D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C2A0D">
              <w:rPr>
                <w:rFonts w:ascii="Times New Roman" w:hAnsi="Times New Roman"/>
              </w:rPr>
              <w:t xml:space="preserve"> в основе лежит определенный параметр объекта контроля;</w:t>
            </w:r>
          </w:p>
          <w:p w:rsidR="00CC2A0D" w:rsidRPr="00CC2A0D" w:rsidRDefault="00CC2A0D" w:rsidP="00CC2A0D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C2A0D">
              <w:rPr>
                <w:rFonts w:ascii="Times New Roman" w:hAnsi="Times New Roman"/>
              </w:rPr>
              <w:t xml:space="preserve"> используется параметр отклонения или соответствия;</w:t>
            </w:r>
          </w:p>
          <w:p w:rsidR="00CC2A0D" w:rsidRPr="00CC2A0D" w:rsidRDefault="00CC2A0D" w:rsidP="00CC2A0D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C2A0D">
              <w:rPr>
                <w:rFonts w:ascii="Times New Roman" w:hAnsi="Times New Roman"/>
              </w:rPr>
              <w:t xml:space="preserve"> не </w:t>
            </w:r>
            <w:proofErr w:type="gramStart"/>
            <w:r w:rsidRPr="00CC2A0D">
              <w:rPr>
                <w:rFonts w:ascii="Times New Roman" w:hAnsi="Times New Roman"/>
              </w:rPr>
              <w:t>основан</w:t>
            </w:r>
            <w:proofErr w:type="gramEnd"/>
            <w:r w:rsidRPr="00CC2A0D">
              <w:rPr>
                <w:rFonts w:ascii="Times New Roman" w:hAnsi="Times New Roman"/>
              </w:rPr>
              <w:t xml:space="preserve"> на уже произошедшем нарушении обязательных требований;</w:t>
            </w:r>
          </w:p>
          <w:p w:rsidR="00CC2A0D" w:rsidRPr="00CC2A0D" w:rsidRDefault="00CC2A0D" w:rsidP="00CC2A0D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CC2A0D">
              <w:rPr>
                <w:rFonts w:ascii="Times New Roman" w:hAnsi="Times New Roman"/>
              </w:rPr>
              <w:t xml:space="preserve"> позволяет идентифицировать риск причинения вреда в контролируемой сфере.</w:t>
            </w:r>
          </w:p>
          <w:p w:rsidR="00CC2A0D" w:rsidRPr="00CC2A0D" w:rsidRDefault="00CC2A0D" w:rsidP="00CC2A0D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C2A0D">
              <w:rPr>
                <w:rFonts w:ascii="Times New Roman" w:hAnsi="Times New Roman"/>
              </w:rPr>
              <w:t>Индикатор риска должен представлять собой факт возникновения какого-либо события или изменения текущего состояния объекта контроля, свидетельствующие с высокой вероятностью о наличии нарушений, представляющих реальную угрозу охраняемым законом ценностям.</w:t>
            </w:r>
          </w:p>
          <w:p w:rsidR="00CC2A0D" w:rsidRDefault="00CC2A0D" w:rsidP="00CC2A0D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CC2A0D">
              <w:rPr>
                <w:rFonts w:ascii="Times New Roman" w:hAnsi="Times New Roman"/>
              </w:rPr>
              <w:t>Более того, необходимо, чтобы параметр объекта контроля был количественно измерим, что позволит с точностью установить факт его изменения.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>В предлагаемых дополнительных индикаторах риска нарушений обязательных требований в области продажи алкогольной продукции указанные признаки отсутствуют, а именно.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1. </w:t>
            </w:r>
            <w:proofErr w:type="gramStart"/>
            <w:r w:rsidRPr="00121105">
              <w:rPr>
                <w:rFonts w:ascii="Times New Roman" w:hAnsi="Times New Roman"/>
              </w:rPr>
              <w:t>В пункте первом приложения № 3 указан индикатор риска - «поступление в Региональную службу по тарифам и ценообразованию Забайкальского края (далее - контрольный (надзорный) орган) в течение квартала более трех обращений от граждан, юридических лиц, индивидуальных предпринимателей, средств массовой информации, иных государственных органов, содержащих сведения о нарушении контролируемыми лицами обязательных требований, оценка соблюдения которых является предметом регионального государственного контроля (надзора) в области розничной</w:t>
            </w:r>
            <w:proofErr w:type="gramEnd"/>
            <w:r w:rsidRPr="00121105">
              <w:rPr>
                <w:rFonts w:ascii="Times New Roman" w:hAnsi="Times New Roman"/>
              </w:rPr>
              <w:t xml:space="preserve"> продажи алкогольной и спиртосодержащей продукции (далее - региональный государственный контроль (надзор)).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Индикатор риска должен отражать признак нарушения определенного требования (группы требований) законодательства и, при этом, самим по себе не являться нарушением какого-либо обязательного требования. Это </w:t>
            </w:r>
            <w:r w:rsidRPr="00121105">
              <w:rPr>
                <w:rFonts w:ascii="Times New Roman" w:hAnsi="Times New Roman"/>
              </w:rPr>
              <w:lastRenderedPageBreak/>
              <w:t xml:space="preserve">требование Закона о государственном контроле, при несоблюдении которого </w:t>
            </w:r>
            <w:r w:rsidRPr="00121105">
              <w:rPr>
                <w:rFonts w:ascii="Times New Roman" w:hAnsi="Times New Roman"/>
                <w:bCs/>
              </w:rPr>
              <w:t>индикатор не может быть использован в</w:t>
            </w:r>
            <w:r w:rsidRPr="00121105">
              <w:rPr>
                <w:rFonts w:ascii="Times New Roman" w:hAnsi="Times New Roman"/>
              </w:rPr>
              <w:t xml:space="preserve"> </w:t>
            </w:r>
            <w:r w:rsidRPr="00121105">
              <w:rPr>
                <w:rFonts w:ascii="Times New Roman" w:hAnsi="Times New Roman"/>
                <w:bCs/>
              </w:rPr>
              <w:t>принципе.</w:t>
            </w:r>
            <w:r w:rsidRPr="00121105">
              <w:rPr>
                <w:rFonts w:ascii="Times New Roman" w:hAnsi="Times New Roman"/>
              </w:rPr>
              <w:t xml:space="preserve"> В указанном индикаторе информация поступила уже  о нарушении контролируемыми лицами обязательных требований. Индикаторы, разработанные на основании данных об уже случившейся ситуации с негативными последствиями, не могут быть использованы при реализации </w:t>
            </w:r>
            <w:proofErr w:type="gramStart"/>
            <w:r w:rsidRPr="00121105">
              <w:rPr>
                <w:rFonts w:ascii="Times New Roman" w:hAnsi="Times New Roman"/>
              </w:rPr>
              <w:t>риск-ориентированного</w:t>
            </w:r>
            <w:proofErr w:type="gramEnd"/>
            <w:r w:rsidRPr="00121105">
              <w:rPr>
                <w:rFonts w:ascii="Times New Roman" w:hAnsi="Times New Roman"/>
              </w:rPr>
              <w:t xml:space="preserve"> подхода. В указанном случае проверка должна проводиться по согласованию с органами прокуратуры по остальным основаниям, которые перечислены в части 3 Постановления Правительства РФ от 10.03.2022 № 336 «Об особенностях организации и осуществления государственного контроля (надзора), муниципального контроля». 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2. В пункте 2 приложения № 3 указан индикатор риска – неоднократное направление в адрес подконтрольного субъекта предостережений. Указанный индикатор в соответствии с Методическими рекомендациями  является «палочным». Индикатор риска не может быть основан  на количестве, результатах проверок, предписаний, профилактических мероприятий. 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3. В п. 7 указан индикатор риска: </w:t>
            </w:r>
            <w:proofErr w:type="gramStart"/>
            <w:r w:rsidRPr="00121105">
              <w:rPr>
                <w:rFonts w:ascii="Times New Roman" w:hAnsi="Times New Roman"/>
              </w:rPr>
              <w:t>Наличие сведений об отклонении в меньшую сторону более чем на 30% либо в большую сторону более чем на 50% объемов розничной продажи алкогольной продукции от усредненного объема розничной продажи алкогольной продукции в объектах торговли и общественного питания аналогичных организаций и (или) индивидуальных предпринимателей, осуществляющих розничную продажу алкогольной продукции на территории Забайкальского края.</w:t>
            </w:r>
            <w:proofErr w:type="gramEnd"/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Потенциальное нарушение обязательного требования должно представлять реальный риск причинения вреда (ущерба), то есть, необходимо выбирать требования, соблюдение которых существенно влияет на общий уровень безопасности объекта контроля. 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Указанный индикатор не отражает реальный риск причинения вреда (ущерба), </w:t>
            </w:r>
            <w:proofErr w:type="gramStart"/>
            <w:r w:rsidRPr="00121105">
              <w:rPr>
                <w:rFonts w:ascii="Times New Roman" w:hAnsi="Times New Roman"/>
              </w:rPr>
              <w:t>не возможно</w:t>
            </w:r>
            <w:proofErr w:type="gramEnd"/>
            <w:r w:rsidRPr="00121105">
              <w:rPr>
                <w:rFonts w:ascii="Times New Roman" w:hAnsi="Times New Roman"/>
              </w:rPr>
              <w:t xml:space="preserve"> установить параметры объекта контроля,  отклонение от которых приведет к нарушению обязательных требований,  так как не понятно как объемы розничной продажи алкогольной продукции влияют на возникновение риска нарушений обязательных требовани</w:t>
            </w:r>
            <w:r w:rsidR="00BD5F6A">
              <w:rPr>
                <w:rFonts w:ascii="Times New Roman" w:hAnsi="Times New Roman"/>
              </w:rPr>
              <w:t>й, также невозможно установить,</w:t>
            </w:r>
            <w:r w:rsidRPr="00121105">
              <w:rPr>
                <w:rFonts w:ascii="Times New Roman" w:hAnsi="Times New Roman"/>
              </w:rPr>
              <w:t xml:space="preserve"> в чем проявится нарушение обязательных требований. 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4. Пункт 10 – «Наличие у одного юридического лица более 15 (пятнадцати) объектов, осуществляющих розничную продажу алкогольной продукции и розничную продажу алкогольной продукции при оказании услуг общественного питания на территории Забайкальского края». 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Указанный индикатор не отражает реальный риск причинения вреда (ущерба), </w:t>
            </w:r>
            <w:proofErr w:type="gramStart"/>
            <w:r w:rsidRPr="00121105">
              <w:rPr>
                <w:rFonts w:ascii="Times New Roman" w:hAnsi="Times New Roman"/>
              </w:rPr>
              <w:t>не возможно</w:t>
            </w:r>
            <w:proofErr w:type="gramEnd"/>
            <w:r w:rsidRPr="00121105">
              <w:rPr>
                <w:rFonts w:ascii="Times New Roman" w:hAnsi="Times New Roman"/>
              </w:rPr>
              <w:t xml:space="preserve"> установить параметры объекта контроля,  отклонение от которых приведет к нарушению обязательных требований. Непонятно как количество объектов торговли может сигнализировать о рисках причинения вреда (ущерба).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5. Пункт 11 – «наличие сведений о реализации в объекте общественного питания оборудования для розлива алкогольной </w:t>
            </w:r>
            <w:r w:rsidRPr="00121105">
              <w:rPr>
                <w:rFonts w:ascii="Times New Roman" w:hAnsi="Times New Roman"/>
              </w:rPr>
              <w:lastRenderedPageBreak/>
              <w:t>продукции в бутилированную тару (упаковку)».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>Невозможно установить какие обязательные требования могут быть нарушены, если в объекте общественного питания будут продавать алкогольную продукцию в бутилированной таре. Невозможно идентифицировать риск причинения вреда в контролируемой сфере.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>6. Пункт 12 «Принятие лицензирующим органом в течение двух последних лет в отношении организации решения об отказе в предоставлении лицензии на розничную продажу алкогольной продукции и (или) лицензии на розничную продажу алкогольной продукции при оказании услуг общественного питания по основаниям, связанным с нарушением ею обязательных требований.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>Индикатор риска не может быть основан  на количестве, результатах проверок, предписаний, профилактических</w:t>
            </w:r>
            <w:r w:rsidR="00BD5F6A">
              <w:rPr>
                <w:rFonts w:ascii="Times New Roman" w:hAnsi="Times New Roman"/>
              </w:rPr>
              <w:t xml:space="preserve"> мероприятий. Указанный критерий</w:t>
            </w:r>
            <w:r w:rsidRPr="00121105">
              <w:rPr>
                <w:rFonts w:ascii="Times New Roman" w:hAnsi="Times New Roman"/>
              </w:rPr>
              <w:t xml:space="preserve"> также является «палочным».</w:t>
            </w:r>
          </w:p>
          <w:p w:rsidR="00121105" w:rsidRPr="00121105" w:rsidRDefault="00BD5F6A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П</w:t>
            </w:r>
            <w:r w:rsidR="00121105" w:rsidRPr="00121105">
              <w:rPr>
                <w:rFonts w:ascii="Times New Roman" w:hAnsi="Times New Roman"/>
              </w:rPr>
              <w:t>ункты 12, 13  Режим работы торговых объектов и складских помещений, объектов общественного питания, осуществляющих деятельность по розничной продаже алкогольной продукции, розничной продаже алкогольной продукции при оказании услуг общественного питания, с 23 часов до 8 часов по местному времени либо круглосуточно.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>Осуществление деятельности по розничной продаже алкогольной продукции индивидуальным предпринимателем совместно с юридическим лицом или индивидуальным предпринимателем, имеющим лицензию на осуществление розничной продажи алкогольной и спиртосодержащей продукции на территории Забайкальского края, в одном помещении, указанном в лицензии».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>Индикатор риска должен отражать только те требования, соблюдение которых</w:t>
            </w:r>
            <w:r w:rsidR="00BD5F6A">
              <w:rPr>
                <w:rFonts w:ascii="Times New Roman" w:hAnsi="Times New Roman"/>
              </w:rPr>
              <w:t xml:space="preserve"> </w:t>
            </w:r>
            <w:r w:rsidRPr="00121105">
              <w:rPr>
                <w:rFonts w:ascii="Times New Roman" w:hAnsi="Times New Roman"/>
              </w:rPr>
              <w:t>проверяется соответствующим органом контр</w:t>
            </w:r>
            <w:r w:rsidR="00D43164">
              <w:rPr>
                <w:rFonts w:ascii="Times New Roman" w:hAnsi="Times New Roman"/>
              </w:rPr>
              <w:t xml:space="preserve">оля в рамках определенного вида </w:t>
            </w:r>
            <w:r w:rsidRPr="00121105">
              <w:rPr>
                <w:rFonts w:ascii="Times New Roman" w:hAnsi="Times New Roman"/>
              </w:rPr>
              <w:t xml:space="preserve">контроля (надзора). В целях точного </w:t>
            </w:r>
            <w:proofErr w:type="gramStart"/>
            <w:r w:rsidRPr="00121105">
              <w:rPr>
                <w:rFonts w:ascii="Times New Roman" w:hAnsi="Times New Roman"/>
              </w:rPr>
              <w:t>установления факта изменения уровня безопасности объекта контроля</w:t>
            </w:r>
            <w:proofErr w:type="gramEnd"/>
            <w:r w:rsidRPr="00121105">
              <w:rPr>
                <w:rFonts w:ascii="Times New Roman" w:hAnsi="Times New Roman"/>
              </w:rPr>
              <w:t xml:space="preserve"> желательно устанавливать количественный параметр отклонения от нормального состояния, при достижении/превышении которого индикатор риска сработает.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В указанных индикаторах риска не определен параметр объекта контроля, а также параметр отклонения от его нормального состояния, свидетельствующий о рисках нарушения обязательных требований. 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Сама по семе круглосуточная работа объекта торговли и общественного питания, а также нахождение в одном объекте нескольких предпринимателей и юридических лиц не может сигнализировать о рисках причинения вреда (ущерба). Невозможно установить, какие именно обязательные требования могут быть нарушены. </w:t>
            </w:r>
          </w:p>
          <w:p w:rsidR="00121105" w:rsidRPr="00121105" w:rsidRDefault="00121105" w:rsidP="00121105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121105">
              <w:rPr>
                <w:rFonts w:ascii="Times New Roman" w:hAnsi="Times New Roman"/>
              </w:rPr>
              <w:t xml:space="preserve">Кроме того,  формулировка индикатора риска в пункте 14 не корректна и не позволит использовать его на практике. У индивидуального предпринимателя в принципе не может быть лицензии на осуществление розничной продажи алкогольной и спиртосодержащей продукции. </w:t>
            </w:r>
          </w:p>
          <w:p w:rsidR="001A5F98" w:rsidRPr="00D43164" w:rsidRDefault="00121105" w:rsidP="001A5F98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D43164">
              <w:rPr>
                <w:rFonts w:ascii="Times New Roman" w:hAnsi="Times New Roman"/>
              </w:rPr>
              <w:t xml:space="preserve">Таким образом, в предлагаемой редакции индикаторы риска не </w:t>
            </w:r>
            <w:r w:rsidRPr="00D43164">
              <w:rPr>
                <w:rFonts w:ascii="Times New Roman" w:hAnsi="Times New Roman"/>
              </w:rPr>
              <w:lastRenderedPageBreak/>
              <w:t>могут быть использованы для проведения внеплановых проверок и требуют доработки согласно Методическим рекомендациям.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0" w:rsidRPr="00350538" w:rsidRDefault="00EA5BC0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6.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E154BA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E154BA" w:rsidP="00A51C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Региональ</w:t>
            </w:r>
            <w:r w:rsidR="009A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ное отделение Российского союза </w:t>
            </w: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промышленников и предпри</w:t>
            </w:r>
            <w:r w:rsidR="00EC37B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нимателей в Забайкальском крае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E154BA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ЗРОО «Союз Предпринимателей Забайкальского края»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7D76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287D7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034D9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Ассоциация автотранспорт</w:t>
            </w:r>
            <w:r w:rsidR="009A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предприятий «</w:t>
            </w:r>
            <w:proofErr w:type="spellStart"/>
            <w:r w:rsidR="009A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Читаавтотранс</w:t>
            </w:r>
            <w:proofErr w:type="spellEnd"/>
            <w:r w:rsidR="009A5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034D97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287D76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538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Саморегулируемая организация Забайкальская Ассоциация строительных организаций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350538">
            <w:pPr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538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D4" w:rsidRPr="00E42CB1" w:rsidRDefault="00E42CB1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E42CB1">
              <w:rPr>
                <w:rFonts w:ascii="Times New Roman" w:hAnsi="Times New Roman" w:cs="Times New Roman"/>
                <w:sz w:val="22"/>
                <w:szCs w:val="22"/>
              </w:rPr>
              <w:t>ООО «</w:t>
            </w:r>
            <w:proofErr w:type="spellStart"/>
            <w:r w:rsidRPr="00E42CB1">
              <w:rPr>
                <w:rFonts w:ascii="Times New Roman" w:hAnsi="Times New Roman" w:cs="Times New Roman"/>
                <w:sz w:val="22"/>
                <w:szCs w:val="22"/>
              </w:rPr>
              <w:t>Атлантис</w:t>
            </w:r>
            <w:proofErr w:type="spellEnd"/>
            <w:r w:rsidRPr="00E42CB1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EC37BA" w:rsidP="00EC37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37BA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2CB1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350538" w:rsidRDefault="00E42CB1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E42CB1" w:rsidRDefault="00E42CB1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2CB1">
              <w:rPr>
                <w:rFonts w:ascii="Times New Roman" w:hAnsi="Times New Roman" w:cs="Times New Roman"/>
                <w:sz w:val="22"/>
                <w:szCs w:val="22"/>
              </w:rPr>
              <w:t>ООО «Сеул»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350538" w:rsidRDefault="00EC37BA" w:rsidP="00EC37B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EC37BA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350538" w:rsidRDefault="00E42CB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0302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287D7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E42CB1" w:rsidRDefault="00E42CB1" w:rsidP="00E42CB1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E42CB1">
              <w:rPr>
                <w:rFonts w:ascii="Times New Roman" w:hAnsi="Times New Roman"/>
                <w:sz w:val="22"/>
                <w:szCs w:val="22"/>
              </w:rPr>
              <w:t>ООО «Сегмент»</w:t>
            </w:r>
          </w:p>
          <w:p w:rsidR="00280A1D" w:rsidRPr="00280A1D" w:rsidRDefault="00280A1D" w:rsidP="00280A1D">
            <w:pPr>
              <w:pStyle w:val="ConsPlusNormal"/>
              <w:suppressAutoHyphens/>
              <w:rPr>
                <w:rFonts w:ascii="Times New Roman" w:hAnsi="Times New Roman"/>
              </w:rPr>
            </w:pPr>
          </w:p>
          <w:p w:rsidR="00A60302" w:rsidRPr="00350538" w:rsidRDefault="00A60302" w:rsidP="00345A2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280A1D" w:rsidP="0035053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A60302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2CB1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350538" w:rsidRDefault="00E42CB1" w:rsidP="00E42C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E42CB1" w:rsidRDefault="00E42CB1" w:rsidP="00E42C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2CB1">
              <w:rPr>
                <w:rFonts w:ascii="Times New Roman" w:hAnsi="Times New Roman"/>
              </w:rPr>
              <w:t>ПО «Универсал»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350538" w:rsidRDefault="00E42CB1" w:rsidP="00E42CB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350538" w:rsidRDefault="00E42CB1" w:rsidP="00E42C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2CB1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350538" w:rsidRDefault="00E42CB1" w:rsidP="00E42CB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E42CB1" w:rsidRDefault="00E42CB1" w:rsidP="00E42CB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42CB1">
              <w:rPr>
                <w:rFonts w:ascii="Times New Roman" w:hAnsi="Times New Roman"/>
              </w:rPr>
              <w:t>ООО «Высота»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350538" w:rsidRDefault="00E42CB1" w:rsidP="00E42CB1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B1" w:rsidRPr="00350538" w:rsidRDefault="00E42CB1" w:rsidP="00E42CB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788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004788" w:rsidRDefault="00004788" w:rsidP="00004788">
            <w:pPr>
              <w:rPr>
                <w:rFonts w:ascii="Times New Roman" w:hAnsi="Times New Roman"/>
              </w:rPr>
            </w:pPr>
            <w:r w:rsidRPr="00004788">
              <w:rPr>
                <w:rFonts w:ascii="Times New Roman" w:hAnsi="Times New Roman"/>
              </w:rPr>
              <w:t xml:space="preserve">ИП </w:t>
            </w:r>
            <w:proofErr w:type="spellStart"/>
            <w:r w:rsidRPr="00004788">
              <w:rPr>
                <w:rFonts w:ascii="Times New Roman" w:hAnsi="Times New Roman"/>
              </w:rPr>
              <w:t>Зарянова</w:t>
            </w:r>
            <w:proofErr w:type="spellEnd"/>
            <w:r w:rsidRPr="00004788">
              <w:rPr>
                <w:rFonts w:ascii="Times New Roman" w:hAnsi="Times New Roman"/>
              </w:rPr>
              <w:t xml:space="preserve"> Татьяна Александровна,</w:t>
            </w:r>
          </w:p>
          <w:p w:rsidR="00004788" w:rsidRPr="00004788" w:rsidRDefault="00004788" w:rsidP="00004788">
            <w:pPr>
              <w:rPr>
                <w:rFonts w:ascii="Times New Roman" w:hAnsi="Times New Roman"/>
                <w:iCs/>
              </w:rPr>
            </w:pPr>
            <w:r w:rsidRPr="00004788">
              <w:rPr>
                <w:rFonts w:ascii="Times New Roman" w:hAnsi="Times New Roman"/>
                <w:iCs/>
              </w:rPr>
              <w:t>ООО «Караван Сосн</w:t>
            </w:r>
            <w:r w:rsidRPr="00004788">
              <w:rPr>
                <w:rFonts w:ascii="Times New Roman" w:hAnsi="Times New Roman"/>
                <w:iCs/>
              </w:rPr>
              <w:t>о</w:t>
            </w:r>
            <w:r w:rsidRPr="00004788">
              <w:rPr>
                <w:rFonts w:ascii="Times New Roman" w:hAnsi="Times New Roman"/>
                <w:iCs/>
              </w:rPr>
              <w:t>вый»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788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004788" w:rsidRDefault="00004788" w:rsidP="00004788">
            <w:pPr>
              <w:rPr>
                <w:rFonts w:ascii="Times New Roman" w:hAnsi="Times New Roman"/>
                <w:iCs/>
              </w:rPr>
            </w:pPr>
            <w:r w:rsidRPr="00004788">
              <w:rPr>
                <w:rFonts w:ascii="Times New Roman" w:hAnsi="Times New Roman"/>
                <w:iCs/>
              </w:rPr>
              <w:t>ООО «Караван +»</w:t>
            </w:r>
          </w:p>
          <w:p w:rsidR="00004788" w:rsidRPr="00004788" w:rsidRDefault="00004788" w:rsidP="00004788">
            <w:pPr>
              <w:rPr>
                <w:rFonts w:ascii="Times New Roman" w:hAnsi="Times New Roman"/>
              </w:rPr>
            </w:pPr>
            <w:r w:rsidRPr="00004788">
              <w:rPr>
                <w:rFonts w:ascii="Times New Roman" w:hAnsi="Times New Roman"/>
                <w:iCs/>
              </w:rPr>
              <w:t>ИП Косьяненко Ирина Игоревна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788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004788" w:rsidRDefault="00004788" w:rsidP="00004788">
            <w:pPr>
              <w:rPr>
                <w:rFonts w:ascii="Times New Roman" w:hAnsi="Times New Roman"/>
                <w:iCs/>
              </w:rPr>
            </w:pPr>
            <w:r w:rsidRPr="00004788">
              <w:rPr>
                <w:rFonts w:ascii="Times New Roman" w:hAnsi="Times New Roman"/>
                <w:iCs/>
              </w:rPr>
              <w:t>ИП Михайлов Дмитрий Михайлович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788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004788" w:rsidRDefault="00004788" w:rsidP="00004788">
            <w:pPr>
              <w:rPr>
                <w:rFonts w:ascii="Times New Roman" w:hAnsi="Times New Roman"/>
                <w:iCs/>
              </w:rPr>
            </w:pPr>
            <w:r w:rsidRPr="00004788">
              <w:rPr>
                <w:rFonts w:ascii="Times New Roman" w:hAnsi="Times New Roman"/>
                <w:iCs/>
              </w:rPr>
              <w:t>ИП Михайлова Любовь Антоновна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788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004788" w:rsidRDefault="00004788" w:rsidP="00004788">
            <w:pPr>
              <w:rPr>
                <w:rFonts w:ascii="Times New Roman" w:hAnsi="Times New Roman"/>
                <w:iCs/>
              </w:rPr>
            </w:pPr>
            <w:r w:rsidRPr="00004788">
              <w:rPr>
                <w:rFonts w:ascii="Times New Roman" w:hAnsi="Times New Roman"/>
                <w:iCs/>
              </w:rPr>
              <w:t xml:space="preserve">ИП </w:t>
            </w:r>
            <w:proofErr w:type="spellStart"/>
            <w:r w:rsidRPr="00004788">
              <w:rPr>
                <w:rFonts w:ascii="Times New Roman" w:hAnsi="Times New Roman"/>
                <w:iCs/>
              </w:rPr>
              <w:t>Янушкевич</w:t>
            </w:r>
            <w:proofErr w:type="spellEnd"/>
            <w:r w:rsidRPr="00004788">
              <w:rPr>
                <w:rFonts w:ascii="Times New Roman" w:hAnsi="Times New Roman"/>
                <w:iCs/>
              </w:rPr>
              <w:t xml:space="preserve"> Анна Михайловна,</w:t>
            </w:r>
          </w:p>
          <w:p w:rsidR="00004788" w:rsidRPr="00004788" w:rsidRDefault="00004788" w:rsidP="00004788">
            <w:pPr>
              <w:rPr>
                <w:rFonts w:ascii="Times New Roman" w:hAnsi="Times New Roman"/>
                <w:iCs/>
              </w:rPr>
            </w:pPr>
            <w:r w:rsidRPr="00004788">
              <w:rPr>
                <w:rFonts w:ascii="Times New Roman" w:hAnsi="Times New Roman"/>
                <w:iCs/>
              </w:rPr>
              <w:t>ООО «Караван-</w:t>
            </w:r>
            <w:proofErr w:type="spellStart"/>
            <w:r w:rsidRPr="00004788">
              <w:rPr>
                <w:rFonts w:ascii="Times New Roman" w:hAnsi="Times New Roman"/>
                <w:iCs/>
              </w:rPr>
              <w:t>Лайт</w:t>
            </w:r>
            <w:proofErr w:type="spellEnd"/>
            <w:r w:rsidRPr="00004788">
              <w:rPr>
                <w:rFonts w:ascii="Times New Roman" w:hAnsi="Times New Roman"/>
                <w:iCs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04788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3F44B9" w:rsidP="000047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A" w:rsidRPr="003F44B9" w:rsidRDefault="00EC37BA" w:rsidP="00EC37BA">
            <w:pPr>
              <w:rPr>
                <w:rFonts w:ascii="Times New Roman" w:hAnsi="Times New Roman"/>
                <w:iCs/>
              </w:rPr>
            </w:pPr>
            <w:r w:rsidRPr="003F44B9">
              <w:rPr>
                <w:rFonts w:ascii="Times New Roman" w:hAnsi="Times New Roman"/>
                <w:iCs/>
              </w:rPr>
              <w:t>ООО «</w:t>
            </w:r>
            <w:proofErr w:type="spellStart"/>
            <w:r w:rsidRPr="003F44B9">
              <w:rPr>
                <w:rFonts w:ascii="Times New Roman" w:hAnsi="Times New Roman"/>
                <w:iCs/>
              </w:rPr>
              <w:t>Караванъ</w:t>
            </w:r>
            <w:proofErr w:type="spellEnd"/>
            <w:r w:rsidRPr="003F44B9">
              <w:rPr>
                <w:rFonts w:ascii="Times New Roman" w:hAnsi="Times New Roman"/>
                <w:iCs/>
              </w:rPr>
              <w:t>»</w:t>
            </w:r>
          </w:p>
          <w:p w:rsidR="00004788" w:rsidRPr="00004788" w:rsidRDefault="00004788" w:rsidP="00004788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788" w:rsidRPr="00350538" w:rsidRDefault="00004788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44B9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Default="003F44B9" w:rsidP="000047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A" w:rsidRPr="003F44B9" w:rsidRDefault="00EC37BA" w:rsidP="00EC37BA">
            <w:pPr>
              <w:rPr>
                <w:rFonts w:ascii="Times New Roman" w:hAnsi="Times New Roman"/>
                <w:iCs/>
              </w:rPr>
            </w:pPr>
            <w:r w:rsidRPr="003F44B9">
              <w:rPr>
                <w:rFonts w:ascii="Times New Roman" w:hAnsi="Times New Roman"/>
                <w:iCs/>
              </w:rPr>
              <w:t>ООО «Северянка»</w:t>
            </w:r>
          </w:p>
          <w:p w:rsidR="003F44B9" w:rsidRPr="00004788" w:rsidRDefault="003F44B9" w:rsidP="00004788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Pr="00350538" w:rsidRDefault="003F44B9" w:rsidP="0000478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Pr="00350538" w:rsidRDefault="003F44B9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44B9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Default="003F44B9" w:rsidP="000047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Pr="00004788" w:rsidRDefault="00EC37BA" w:rsidP="00EC37BA">
            <w:pPr>
              <w:rPr>
                <w:rFonts w:ascii="Times New Roman" w:hAnsi="Times New Roman"/>
                <w:iCs/>
              </w:rPr>
            </w:pPr>
            <w:r w:rsidRPr="00EC37BA">
              <w:rPr>
                <w:rFonts w:ascii="Times New Roman" w:hAnsi="Times New Roman"/>
                <w:iCs/>
              </w:rPr>
              <w:t xml:space="preserve">Совет </w:t>
            </w:r>
            <w:proofErr w:type="gramStart"/>
            <w:r w:rsidRPr="00EC37BA">
              <w:rPr>
                <w:rFonts w:ascii="Times New Roman" w:hAnsi="Times New Roman"/>
                <w:iCs/>
              </w:rPr>
              <w:t>предпринимат</w:t>
            </w:r>
            <w:r w:rsidRPr="00EC37BA">
              <w:rPr>
                <w:rFonts w:ascii="Times New Roman" w:hAnsi="Times New Roman"/>
                <w:iCs/>
              </w:rPr>
              <w:t>е</w:t>
            </w:r>
            <w:r w:rsidRPr="00EC37BA">
              <w:rPr>
                <w:rFonts w:ascii="Times New Roman" w:hAnsi="Times New Roman"/>
                <w:iCs/>
              </w:rPr>
              <w:t>лей</w:t>
            </w:r>
            <w:proofErr w:type="gramEnd"/>
            <w:r w:rsidRPr="00EC37BA">
              <w:rPr>
                <w:rFonts w:ascii="Times New Roman" w:hAnsi="Times New Roman"/>
                <w:iCs/>
              </w:rPr>
              <w:t xml:space="preserve"> ЗАТО п. Горный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Pr="00350538" w:rsidRDefault="003F44B9" w:rsidP="0000478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Pr="00350538" w:rsidRDefault="003F44B9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44B9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Default="003F44B9" w:rsidP="0000478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Pr="00004788" w:rsidRDefault="00EC37BA" w:rsidP="00EC37BA">
            <w:pPr>
              <w:rPr>
                <w:rFonts w:ascii="Times New Roman" w:hAnsi="Times New Roman"/>
                <w:iCs/>
              </w:rPr>
            </w:pPr>
            <w:r w:rsidRPr="00EC37BA">
              <w:rPr>
                <w:rFonts w:ascii="Times New Roman" w:hAnsi="Times New Roman"/>
                <w:iCs/>
              </w:rPr>
              <w:t>ООО «Вектор»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Pr="00350538" w:rsidRDefault="003F44B9" w:rsidP="00004788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Pr="00350538" w:rsidRDefault="003F44B9" w:rsidP="0000478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37BA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A" w:rsidRDefault="00EC37BA" w:rsidP="00EC37B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A" w:rsidRPr="00EC37BA" w:rsidRDefault="00EC37BA" w:rsidP="00EC37BA">
            <w:pPr>
              <w:rPr>
                <w:rFonts w:ascii="Times New Roman" w:hAnsi="Times New Roman"/>
                <w:iCs/>
              </w:rPr>
            </w:pPr>
            <w:r w:rsidRPr="00EC37BA">
              <w:rPr>
                <w:rFonts w:ascii="Times New Roman" w:hAnsi="Times New Roman"/>
                <w:iCs/>
              </w:rPr>
              <w:t>ИП Иванов Александр Николаевич</w:t>
            </w:r>
          </w:p>
          <w:p w:rsidR="00EC37BA" w:rsidRPr="00EC37BA" w:rsidRDefault="00EC37BA" w:rsidP="00EC37BA">
            <w:pPr>
              <w:rPr>
                <w:rFonts w:ascii="Times New Roman" w:hAnsi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A" w:rsidRPr="00350538" w:rsidRDefault="00EC37BA" w:rsidP="00EC37BA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EC37BA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A" w:rsidRPr="00350538" w:rsidRDefault="00EC37BA" w:rsidP="00EC37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C37BA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A" w:rsidRDefault="00EC37BA" w:rsidP="00EC37BA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A" w:rsidRPr="00EC37BA" w:rsidRDefault="00EC37BA" w:rsidP="00EC37BA">
            <w:pPr>
              <w:rPr>
                <w:rFonts w:ascii="Times New Roman" w:hAnsi="Times New Roman"/>
                <w:iCs/>
              </w:rPr>
            </w:pPr>
            <w:r w:rsidRPr="00EC37BA">
              <w:rPr>
                <w:rFonts w:ascii="Times New Roman" w:hAnsi="Times New Roman"/>
                <w:iCs/>
              </w:rPr>
              <w:t>ИП Синько И.А.</w:t>
            </w:r>
          </w:p>
          <w:p w:rsidR="00EC37BA" w:rsidRPr="00EC37BA" w:rsidRDefault="00EC37BA" w:rsidP="00EC37BA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A" w:rsidRPr="00F24226" w:rsidRDefault="00EC37BA" w:rsidP="00EC37BA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C37BA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BA" w:rsidRPr="00350538" w:rsidRDefault="00EC37BA" w:rsidP="00EC37B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44B9" w:rsidRPr="00350538" w:rsidTr="0012110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Default="00EC37BA" w:rsidP="003F44B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Pr="00EC37BA" w:rsidRDefault="00EC37BA" w:rsidP="003F44B9">
            <w:pPr>
              <w:rPr>
                <w:rFonts w:ascii="Times New Roman" w:hAnsi="Times New Roman"/>
                <w:iCs/>
                <w:highlight w:val="yellow"/>
              </w:rPr>
            </w:pPr>
            <w:r w:rsidRPr="00EC37BA">
              <w:rPr>
                <w:rFonts w:ascii="Times New Roman" w:hAnsi="Times New Roman"/>
                <w:iCs/>
              </w:rPr>
              <w:t>ЗАО «Читинские кл</w:t>
            </w:r>
            <w:r w:rsidRPr="00EC37BA">
              <w:rPr>
                <w:rFonts w:ascii="Times New Roman" w:hAnsi="Times New Roman"/>
                <w:iCs/>
              </w:rPr>
              <w:t>ю</w:t>
            </w:r>
            <w:r w:rsidRPr="00EC37BA">
              <w:rPr>
                <w:rFonts w:ascii="Times New Roman" w:hAnsi="Times New Roman"/>
                <w:iCs/>
              </w:rPr>
              <w:t>чи»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Pr="00EC37BA" w:rsidRDefault="00EC37BA" w:rsidP="00EC37BA">
            <w:pPr>
              <w:numPr>
                <w:ilvl w:val="0"/>
                <w:numId w:val="31"/>
              </w:numPr>
              <w:tabs>
                <w:tab w:val="left" w:pos="22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C37BA">
              <w:rPr>
                <w:rFonts w:ascii="Times New Roman" w:hAnsi="Times New Roman"/>
                <w:bCs/>
              </w:rPr>
              <w:t>Расширение перечня лиц, обеспечивающих контрольные мероприятия и формирование существенного перечня «индикаторов риска», который даст основание для проведения проверки в массе случаев, не соответствует прово</w:t>
            </w:r>
            <w:r w:rsidR="00CE4718">
              <w:rPr>
                <w:rFonts w:ascii="Times New Roman" w:hAnsi="Times New Roman"/>
                <w:bCs/>
              </w:rPr>
              <w:t>димой Правительством РФ политике снижения</w:t>
            </w:r>
            <w:r w:rsidRPr="00EC37BA">
              <w:rPr>
                <w:rFonts w:ascii="Times New Roman" w:hAnsi="Times New Roman"/>
                <w:bCs/>
              </w:rPr>
              <w:t xml:space="preserve"> давления на бизнес.</w:t>
            </w:r>
          </w:p>
          <w:p w:rsidR="00EC37BA" w:rsidRPr="00EC37BA" w:rsidRDefault="00EC37BA" w:rsidP="00EC37BA">
            <w:pPr>
              <w:numPr>
                <w:ilvl w:val="0"/>
                <w:numId w:val="31"/>
              </w:numPr>
              <w:tabs>
                <w:tab w:val="left" w:pos="221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</w:rPr>
            </w:pPr>
            <w:r w:rsidRPr="00EC37BA">
              <w:rPr>
                <w:rFonts w:ascii="Times New Roman" w:hAnsi="Times New Roman"/>
                <w:bCs/>
              </w:rPr>
              <w:t xml:space="preserve">Увеличение числа проверок  в ряде случаев может привести к закрытию бизнеса, особенно мелкого и микро, не имеющего возможности содержать юридическую службу и </w:t>
            </w:r>
            <w:proofErr w:type="spellStart"/>
            <w:r w:rsidRPr="00EC37BA">
              <w:rPr>
                <w:rFonts w:ascii="Times New Roman" w:hAnsi="Times New Roman"/>
                <w:bCs/>
              </w:rPr>
              <w:t>тп</w:t>
            </w:r>
            <w:proofErr w:type="spellEnd"/>
            <w:r w:rsidRPr="00EC37BA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B9" w:rsidRPr="00350538" w:rsidRDefault="003F44B9" w:rsidP="003F44B9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F1097" w:rsidRPr="00350538" w:rsidTr="00121105">
        <w:trPr>
          <w:trHeight w:val="351"/>
        </w:trPr>
        <w:tc>
          <w:tcPr>
            <w:tcW w:w="9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поступивших предложений, замечаний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AF1097" w:rsidRDefault="00AF1097">
      <w:r>
        <w:br w:type="page"/>
      </w: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276"/>
        <w:gridCol w:w="1276"/>
      </w:tblGrid>
      <w:tr w:rsidR="00AF1097" w:rsidRPr="00350538" w:rsidTr="00121105">
        <w:trPr>
          <w:trHeight w:val="287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lastRenderedPageBreak/>
              <w:t>Общее количество 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AF1097" w:rsidRPr="00350538" w:rsidTr="00121105">
        <w:trPr>
          <w:trHeight w:val="268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частично 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  <w:tr w:rsidR="00AF1097" w:rsidRPr="00350538" w:rsidTr="00121105">
        <w:trPr>
          <w:trHeight w:val="287"/>
        </w:trPr>
        <w:tc>
          <w:tcPr>
            <w:tcW w:w="9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Общее количество неучтенных предложений,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97" w:rsidRPr="00AF1097" w:rsidRDefault="00AF1097" w:rsidP="00CE4718">
            <w:pPr>
              <w:rPr>
                <w:rFonts w:ascii="Times New Roman" w:hAnsi="Times New Roman"/>
              </w:rPr>
            </w:pPr>
            <w:r w:rsidRPr="00AF1097">
              <w:rPr>
                <w:rFonts w:ascii="Times New Roman" w:hAnsi="Times New Roman"/>
              </w:rPr>
              <w:t>0</w:t>
            </w:r>
          </w:p>
        </w:tc>
      </w:tr>
    </w:tbl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1002D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Ю.Э.</w:t>
      </w:r>
    </w:p>
    <w:p w:rsidR="00C8352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718" w:rsidRDefault="00CE4718" w:rsidP="00A65223">
      <w:pPr>
        <w:spacing w:after="0" w:line="240" w:lineRule="auto"/>
      </w:pPr>
      <w:r>
        <w:separator/>
      </w:r>
    </w:p>
  </w:endnote>
  <w:endnote w:type="continuationSeparator" w:id="0">
    <w:p w:rsidR="00CE4718" w:rsidRDefault="00CE471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718" w:rsidRDefault="00CE4718" w:rsidP="00A65223">
      <w:pPr>
        <w:spacing w:after="0" w:line="240" w:lineRule="auto"/>
      </w:pPr>
      <w:r>
        <w:separator/>
      </w:r>
    </w:p>
  </w:footnote>
  <w:footnote w:type="continuationSeparator" w:id="0">
    <w:p w:rsidR="00CE4718" w:rsidRDefault="00CE471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8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9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F626AF"/>
    <w:multiLevelType w:val="hybridMultilevel"/>
    <w:tmpl w:val="57E0A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1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8"/>
  </w:num>
  <w:num w:numId="8">
    <w:abstractNumId w:val="29"/>
  </w:num>
  <w:num w:numId="9">
    <w:abstractNumId w:val="35"/>
  </w:num>
  <w:num w:numId="10">
    <w:abstractNumId w:val="17"/>
  </w:num>
  <w:num w:numId="11">
    <w:abstractNumId w:val="28"/>
  </w:num>
  <w:num w:numId="12">
    <w:abstractNumId w:val="40"/>
  </w:num>
  <w:num w:numId="13">
    <w:abstractNumId w:val="30"/>
  </w:num>
  <w:num w:numId="14">
    <w:abstractNumId w:val="24"/>
  </w:num>
  <w:num w:numId="15">
    <w:abstractNumId w:val="11"/>
  </w:num>
  <w:num w:numId="16">
    <w:abstractNumId w:val="3"/>
  </w:num>
  <w:num w:numId="17">
    <w:abstractNumId w:val="6"/>
  </w:num>
  <w:num w:numId="18">
    <w:abstractNumId w:val="10"/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1"/>
  </w:num>
  <w:num w:numId="22">
    <w:abstractNumId w:val="7"/>
  </w:num>
  <w:num w:numId="23">
    <w:abstractNumId w:val="2"/>
  </w:num>
  <w:num w:numId="24">
    <w:abstractNumId w:val="16"/>
  </w:num>
  <w:num w:numId="25">
    <w:abstractNumId w:val="36"/>
  </w:num>
  <w:num w:numId="26">
    <w:abstractNumId w:val="34"/>
  </w:num>
  <w:num w:numId="27">
    <w:abstractNumId w:val="4"/>
  </w:num>
  <w:num w:numId="28">
    <w:abstractNumId w:val="1"/>
  </w:num>
  <w:num w:numId="29">
    <w:abstractNumId w:val="32"/>
  </w:num>
  <w:num w:numId="30">
    <w:abstractNumId w:val="25"/>
  </w:num>
  <w:num w:numId="3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38"/>
  </w:num>
  <w:num w:numId="34">
    <w:abstractNumId w:val="23"/>
  </w:num>
  <w:num w:numId="35">
    <w:abstractNumId w:val="22"/>
  </w:num>
  <w:num w:numId="36">
    <w:abstractNumId w:val="5"/>
  </w:num>
  <w:num w:numId="37">
    <w:abstractNumId w:val="0"/>
  </w:num>
  <w:num w:numId="38">
    <w:abstractNumId w:val="9"/>
  </w:num>
  <w:num w:numId="39">
    <w:abstractNumId w:val="18"/>
  </w:num>
  <w:num w:numId="40">
    <w:abstractNumId w:val="19"/>
  </w:num>
  <w:num w:numId="41">
    <w:abstractNumId w:val="27"/>
  </w:num>
  <w:num w:numId="42">
    <w:abstractNumId w:val="26"/>
  </w:num>
  <w:num w:numId="4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04788"/>
    <w:rsid w:val="00015F77"/>
    <w:rsid w:val="00024E47"/>
    <w:rsid w:val="00025AFE"/>
    <w:rsid w:val="00032481"/>
    <w:rsid w:val="00034595"/>
    <w:rsid w:val="00034B87"/>
    <w:rsid w:val="00034D97"/>
    <w:rsid w:val="00051431"/>
    <w:rsid w:val="0006107B"/>
    <w:rsid w:val="000634F9"/>
    <w:rsid w:val="000660E6"/>
    <w:rsid w:val="00071F16"/>
    <w:rsid w:val="00080FFF"/>
    <w:rsid w:val="000C2172"/>
    <w:rsid w:val="000C5CF8"/>
    <w:rsid w:val="000D12C0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11AA"/>
    <w:rsid w:val="00112AC1"/>
    <w:rsid w:val="0011454B"/>
    <w:rsid w:val="00121105"/>
    <w:rsid w:val="00121571"/>
    <w:rsid w:val="001247C4"/>
    <w:rsid w:val="00126E15"/>
    <w:rsid w:val="001406D2"/>
    <w:rsid w:val="00155AF4"/>
    <w:rsid w:val="00156C93"/>
    <w:rsid w:val="00161340"/>
    <w:rsid w:val="00163688"/>
    <w:rsid w:val="00170782"/>
    <w:rsid w:val="001721EB"/>
    <w:rsid w:val="0018303F"/>
    <w:rsid w:val="00194AD1"/>
    <w:rsid w:val="00194B0E"/>
    <w:rsid w:val="00197DB3"/>
    <w:rsid w:val="001A189B"/>
    <w:rsid w:val="001A527F"/>
    <w:rsid w:val="001A545E"/>
    <w:rsid w:val="001A5F98"/>
    <w:rsid w:val="001A785F"/>
    <w:rsid w:val="001B6DD0"/>
    <w:rsid w:val="001B79BF"/>
    <w:rsid w:val="001C04F4"/>
    <w:rsid w:val="001D1827"/>
    <w:rsid w:val="001E41B1"/>
    <w:rsid w:val="001F2315"/>
    <w:rsid w:val="001F50DE"/>
    <w:rsid w:val="00200393"/>
    <w:rsid w:val="00205DBA"/>
    <w:rsid w:val="00207678"/>
    <w:rsid w:val="00211A23"/>
    <w:rsid w:val="0021230D"/>
    <w:rsid w:val="002201AF"/>
    <w:rsid w:val="002335ED"/>
    <w:rsid w:val="00237168"/>
    <w:rsid w:val="0024352C"/>
    <w:rsid w:val="0024427E"/>
    <w:rsid w:val="00252E37"/>
    <w:rsid w:val="00260BD2"/>
    <w:rsid w:val="002640E8"/>
    <w:rsid w:val="00266431"/>
    <w:rsid w:val="00270841"/>
    <w:rsid w:val="00280A1D"/>
    <w:rsid w:val="00281ACB"/>
    <w:rsid w:val="00282892"/>
    <w:rsid w:val="00287D76"/>
    <w:rsid w:val="002A5BAE"/>
    <w:rsid w:val="002A5F41"/>
    <w:rsid w:val="002B2A5A"/>
    <w:rsid w:val="002C04A4"/>
    <w:rsid w:val="002D65F7"/>
    <w:rsid w:val="002D7F54"/>
    <w:rsid w:val="002E7420"/>
    <w:rsid w:val="002F2122"/>
    <w:rsid w:val="002F4D1F"/>
    <w:rsid w:val="00312B1C"/>
    <w:rsid w:val="00320C80"/>
    <w:rsid w:val="003213D2"/>
    <w:rsid w:val="0032413C"/>
    <w:rsid w:val="0032696B"/>
    <w:rsid w:val="00332D4F"/>
    <w:rsid w:val="003362F6"/>
    <w:rsid w:val="00342AE8"/>
    <w:rsid w:val="00345A2D"/>
    <w:rsid w:val="00350538"/>
    <w:rsid w:val="0035196C"/>
    <w:rsid w:val="00363E4C"/>
    <w:rsid w:val="00366F2C"/>
    <w:rsid w:val="00367A74"/>
    <w:rsid w:val="00372E48"/>
    <w:rsid w:val="0038503A"/>
    <w:rsid w:val="003901BC"/>
    <w:rsid w:val="003A1BB3"/>
    <w:rsid w:val="003A1E22"/>
    <w:rsid w:val="003A2094"/>
    <w:rsid w:val="003A22D9"/>
    <w:rsid w:val="003A3F09"/>
    <w:rsid w:val="003A4B7A"/>
    <w:rsid w:val="003B2665"/>
    <w:rsid w:val="003C1FD4"/>
    <w:rsid w:val="003D7B0F"/>
    <w:rsid w:val="003E257B"/>
    <w:rsid w:val="003E3FF1"/>
    <w:rsid w:val="003F2E66"/>
    <w:rsid w:val="003F3CF0"/>
    <w:rsid w:val="003F44B9"/>
    <w:rsid w:val="004024FD"/>
    <w:rsid w:val="00403003"/>
    <w:rsid w:val="004137BD"/>
    <w:rsid w:val="00432A76"/>
    <w:rsid w:val="00443315"/>
    <w:rsid w:val="00454AEF"/>
    <w:rsid w:val="00463D8B"/>
    <w:rsid w:val="00467AE4"/>
    <w:rsid w:val="004711E3"/>
    <w:rsid w:val="004A5462"/>
    <w:rsid w:val="004B6732"/>
    <w:rsid w:val="004B7E72"/>
    <w:rsid w:val="004C488A"/>
    <w:rsid w:val="004C670B"/>
    <w:rsid w:val="004D76A7"/>
    <w:rsid w:val="004D76CE"/>
    <w:rsid w:val="004E418B"/>
    <w:rsid w:val="004F320D"/>
    <w:rsid w:val="00507EA9"/>
    <w:rsid w:val="00511163"/>
    <w:rsid w:val="00523553"/>
    <w:rsid w:val="005247FC"/>
    <w:rsid w:val="005275CD"/>
    <w:rsid w:val="00535461"/>
    <w:rsid w:val="00535D93"/>
    <w:rsid w:val="005426D3"/>
    <w:rsid w:val="00546646"/>
    <w:rsid w:val="00551E92"/>
    <w:rsid w:val="00563A13"/>
    <w:rsid w:val="00565EC0"/>
    <w:rsid w:val="00574458"/>
    <w:rsid w:val="00582B63"/>
    <w:rsid w:val="00583FB1"/>
    <w:rsid w:val="0059280B"/>
    <w:rsid w:val="00595CC2"/>
    <w:rsid w:val="005A5C51"/>
    <w:rsid w:val="005A783D"/>
    <w:rsid w:val="005C1690"/>
    <w:rsid w:val="005C31B7"/>
    <w:rsid w:val="005C48F3"/>
    <w:rsid w:val="005C6D33"/>
    <w:rsid w:val="005D1D26"/>
    <w:rsid w:val="005D7730"/>
    <w:rsid w:val="005D7C8A"/>
    <w:rsid w:val="005E4D6B"/>
    <w:rsid w:val="005E6C2B"/>
    <w:rsid w:val="00602EF1"/>
    <w:rsid w:val="006061BA"/>
    <w:rsid w:val="006111D4"/>
    <w:rsid w:val="00613E26"/>
    <w:rsid w:val="0063251A"/>
    <w:rsid w:val="00635E78"/>
    <w:rsid w:val="00636A6B"/>
    <w:rsid w:val="00642D86"/>
    <w:rsid w:val="00667FC7"/>
    <w:rsid w:val="0067456F"/>
    <w:rsid w:val="00685786"/>
    <w:rsid w:val="00697E5A"/>
    <w:rsid w:val="006A1CE0"/>
    <w:rsid w:val="006A2A0F"/>
    <w:rsid w:val="006A362E"/>
    <w:rsid w:val="006B0510"/>
    <w:rsid w:val="006B05C6"/>
    <w:rsid w:val="006C158C"/>
    <w:rsid w:val="006C2998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2676F"/>
    <w:rsid w:val="007319D4"/>
    <w:rsid w:val="00732A14"/>
    <w:rsid w:val="007410DD"/>
    <w:rsid w:val="0075369C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C3B7E"/>
    <w:rsid w:val="007C403B"/>
    <w:rsid w:val="007D632A"/>
    <w:rsid w:val="007E3CCB"/>
    <w:rsid w:val="007E496B"/>
    <w:rsid w:val="007E60EE"/>
    <w:rsid w:val="007E6E1B"/>
    <w:rsid w:val="007E7EFD"/>
    <w:rsid w:val="007F00CA"/>
    <w:rsid w:val="007F187D"/>
    <w:rsid w:val="007F3C13"/>
    <w:rsid w:val="007F4B90"/>
    <w:rsid w:val="007F4D0A"/>
    <w:rsid w:val="007F6A83"/>
    <w:rsid w:val="00800C29"/>
    <w:rsid w:val="00803757"/>
    <w:rsid w:val="0081002D"/>
    <w:rsid w:val="00810CC2"/>
    <w:rsid w:val="008126AE"/>
    <w:rsid w:val="00820D87"/>
    <w:rsid w:val="00827307"/>
    <w:rsid w:val="008276C7"/>
    <w:rsid w:val="00830579"/>
    <w:rsid w:val="00832B95"/>
    <w:rsid w:val="00835221"/>
    <w:rsid w:val="00843605"/>
    <w:rsid w:val="00850C50"/>
    <w:rsid w:val="00857EB4"/>
    <w:rsid w:val="008658C4"/>
    <w:rsid w:val="00870DF2"/>
    <w:rsid w:val="00875C04"/>
    <w:rsid w:val="0088035D"/>
    <w:rsid w:val="00883498"/>
    <w:rsid w:val="00886319"/>
    <w:rsid w:val="00892514"/>
    <w:rsid w:val="00892942"/>
    <w:rsid w:val="008A1732"/>
    <w:rsid w:val="008A25FA"/>
    <w:rsid w:val="008A5972"/>
    <w:rsid w:val="008B35EE"/>
    <w:rsid w:val="008B4BF0"/>
    <w:rsid w:val="008B7F8B"/>
    <w:rsid w:val="008C3078"/>
    <w:rsid w:val="008C484A"/>
    <w:rsid w:val="008C6B29"/>
    <w:rsid w:val="008C6CDE"/>
    <w:rsid w:val="008D6AFE"/>
    <w:rsid w:val="008E1A52"/>
    <w:rsid w:val="008E5DB0"/>
    <w:rsid w:val="008F01BD"/>
    <w:rsid w:val="008F0F1D"/>
    <w:rsid w:val="008F44B5"/>
    <w:rsid w:val="0090142F"/>
    <w:rsid w:val="00905AE4"/>
    <w:rsid w:val="00911792"/>
    <w:rsid w:val="00915BFD"/>
    <w:rsid w:val="009204F0"/>
    <w:rsid w:val="00923566"/>
    <w:rsid w:val="00926799"/>
    <w:rsid w:val="009330CB"/>
    <w:rsid w:val="00935FAC"/>
    <w:rsid w:val="00940573"/>
    <w:rsid w:val="00940989"/>
    <w:rsid w:val="00961E00"/>
    <w:rsid w:val="009716AC"/>
    <w:rsid w:val="00974C70"/>
    <w:rsid w:val="00993CBB"/>
    <w:rsid w:val="0099626D"/>
    <w:rsid w:val="009A5782"/>
    <w:rsid w:val="009B4359"/>
    <w:rsid w:val="009B4665"/>
    <w:rsid w:val="009B586A"/>
    <w:rsid w:val="009C2EF5"/>
    <w:rsid w:val="009D4D94"/>
    <w:rsid w:val="009E16DA"/>
    <w:rsid w:val="009E7BB9"/>
    <w:rsid w:val="009F0227"/>
    <w:rsid w:val="009F3B4E"/>
    <w:rsid w:val="009F7DAE"/>
    <w:rsid w:val="00A0606D"/>
    <w:rsid w:val="00A1058E"/>
    <w:rsid w:val="00A124F8"/>
    <w:rsid w:val="00A15F40"/>
    <w:rsid w:val="00A23BB5"/>
    <w:rsid w:val="00A36681"/>
    <w:rsid w:val="00A46853"/>
    <w:rsid w:val="00A50670"/>
    <w:rsid w:val="00A51C27"/>
    <w:rsid w:val="00A53003"/>
    <w:rsid w:val="00A54281"/>
    <w:rsid w:val="00A60302"/>
    <w:rsid w:val="00A65223"/>
    <w:rsid w:val="00A6552B"/>
    <w:rsid w:val="00A66252"/>
    <w:rsid w:val="00A844D0"/>
    <w:rsid w:val="00A9117C"/>
    <w:rsid w:val="00A938A8"/>
    <w:rsid w:val="00A96785"/>
    <w:rsid w:val="00AA3E80"/>
    <w:rsid w:val="00AA6982"/>
    <w:rsid w:val="00AB109D"/>
    <w:rsid w:val="00AB1740"/>
    <w:rsid w:val="00AC54D2"/>
    <w:rsid w:val="00AE22A3"/>
    <w:rsid w:val="00AF1097"/>
    <w:rsid w:val="00AF2ED0"/>
    <w:rsid w:val="00AF31EA"/>
    <w:rsid w:val="00AF7EC6"/>
    <w:rsid w:val="00B02FC2"/>
    <w:rsid w:val="00B142DC"/>
    <w:rsid w:val="00B17E96"/>
    <w:rsid w:val="00B21ECF"/>
    <w:rsid w:val="00B27DA4"/>
    <w:rsid w:val="00B31E99"/>
    <w:rsid w:val="00B366BC"/>
    <w:rsid w:val="00B4460B"/>
    <w:rsid w:val="00B4552E"/>
    <w:rsid w:val="00B62A15"/>
    <w:rsid w:val="00B63B9E"/>
    <w:rsid w:val="00B70009"/>
    <w:rsid w:val="00B81B68"/>
    <w:rsid w:val="00B93126"/>
    <w:rsid w:val="00B95693"/>
    <w:rsid w:val="00B969BE"/>
    <w:rsid w:val="00BB0EF0"/>
    <w:rsid w:val="00BC0FE2"/>
    <w:rsid w:val="00BC206E"/>
    <w:rsid w:val="00BC316B"/>
    <w:rsid w:val="00BC33A8"/>
    <w:rsid w:val="00BC39B5"/>
    <w:rsid w:val="00BD2E86"/>
    <w:rsid w:val="00BD5F6A"/>
    <w:rsid w:val="00BD7289"/>
    <w:rsid w:val="00BE03A8"/>
    <w:rsid w:val="00BE1623"/>
    <w:rsid w:val="00BF0242"/>
    <w:rsid w:val="00BF2F31"/>
    <w:rsid w:val="00BF3119"/>
    <w:rsid w:val="00BF3DF9"/>
    <w:rsid w:val="00BF51D6"/>
    <w:rsid w:val="00C048C0"/>
    <w:rsid w:val="00C07681"/>
    <w:rsid w:val="00C13DFA"/>
    <w:rsid w:val="00C16C74"/>
    <w:rsid w:val="00C16E58"/>
    <w:rsid w:val="00C30BBB"/>
    <w:rsid w:val="00C34A14"/>
    <w:rsid w:val="00C36E0D"/>
    <w:rsid w:val="00C420A8"/>
    <w:rsid w:val="00C43264"/>
    <w:rsid w:val="00C53967"/>
    <w:rsid w:val="00C546F4"/>
    <w:rsid w:val="00C60364"/>
    <w:rsid w:val="00C62CD5"/>
    <w:rsid w:val="00C83521"/>
    <w:rsid w:val="00C85EF9"/>
    <w:rsid w:val="00C86067"/>
    <w:rsid w:val="00CA2F85"/>
    <w:rsid w:val="00CB6EAF"/>
    <w:rsid w:val="00CB71DE"/>
    <w:rsid w:val="00CC27A9"/>
    <w:rsid w:val="00CC2A0D"/>
    <w:rsid w:val="00CD0D8E"/>
    <w:rsid w:val="00CE2254"/>
    <w:rsid w:val="00CE28A2"/>
    <w:rsid w:val="00CE4718"/>
    <w:rsid w:val="00CF5A13"/>
    <w:rsid w:val="00D02354"/>
    <w:rsid w:val="00D11287"/>
    <w:rsid w:val="00D25F66"/>
    <w:rsid w:val="00D41FDD"/>
    <w:rsid w:val="00D43164"/>
    <w:rsid w:val="00D438A0"/>
    <w:rsid w:val="00D44765"/>
    <w:rsid w:val="00D454E7"/>
    <w:rsid w:val="00D52CC4"/>
    <w:rsid w:val="00D5780B"/>
    <w:rsid w:val="00D6711B"/>
    <w:rsid w:val="00D72470"/>
    <w:rsid w:val="00D861EF"/>
    <w:rsid w:val="00D928DF"/>
    <w:rsid w:val="00DB0C5D"/>
    <w:rsid w:val="00DD1926"/>
    <w:rsid w:val="00DD3EFA"/>
    <w:rsid w:val="00DD6E11"/>
    <w:rsid w:val="00DE63EA"/>
    <w:rsid w:val="00DF60C3"/>
    <w:rsid w:val="00DF685D"/>
    <w:rsid w:val="00DF6F16"/>
    <w:rsid w:val="00DF7AD8"/>
    <w:rsid w:val="00E01B59"/>
    <w:rsid w:val="00E154BA"/>
    <w:rsid w:val="00E158A5"/>
    <w:rsid w:val="00E20A11"/>
    <w:rsid w:val="00E2219A"/>
    <w:rsid w:val="00E23AB0"/>
    <w:rsid w:val="00E30312"/>
    <w:rsid w:val="00E4222A"/>
    <w:rsid w:val="00E42CB1"/>
    <w:rsid w:val="00E43947"/>
    <w:rsid w:val="00E458A2"/>
    <w:rsid w:val="00E50018"/>
    <w:rsid w:val="00E50D53"/>
    <w:rsid w:val="00E6269C"/>
    <w:rsid w:val="00E757DA"/>
    <w:rsid w:val="00E8474C"/>
    <w:rsid w:val="00E862AE"/>
    <w:rsid w:val="00E9465E"/>
    <w:rsid w:val="00EA5BC0"/>
    <w:rsid w:val="00EB6106"/>
    <w:rsid w:val="00EB77BF"/>
    <w:rsid w:val="00EC37BA"/>
    <w:rsid w:val="00ED4C71"/>
    <w:rsid w:val="00ED70A3"/>
    <w:rsid w:val="00EE6F13"/>
    <w:rsid w:val="00EF13BF"/>
    <w:rsid w:val="00EF5D04"/>
    <w:rsid w:val="00EF77A4"/>
    <w:rsid w:val="00F017D2"/>
    <w:rsid w:val="00F0280E"/>
    <w:rsid w:val="00F046A5"/>
    <w:rsid w:val="00F04E66"/>
    <w:rsid w:val="00F102AF"/>
    <w:rsid w:val="00F156A9"/>
    <w:rsid w:val="00F17FFD"/>
    <w:rsid w:val="00F24226"/>
    <w:rsid w:val="00F25A4D"/>
    <w:rsid w:val="00F25DBE"/>
    <w:rsid w:val="00F34613"/>
    <w:rsid w:val="00F34A72"/>
    <w:rsid w:val="00F366BB"/>
    <w:rsid w:val="00F4139C"/>
    <w:rsid w:val="00F63A50"/>
    <w:rsid w:val="00F63F7F"/>
    <w:rsid w:val="00F7428A"/>
    <w:rsid w:val="00F7470D"/>
    <w:rsid w:val="00F80C43"/>
    <w:rsid w:val="00F815EA"/>
    <w:rsid w:val="00F90195"/>
    <w:rsid w:val="00F91C6A"/>
    <w:rsid w:val="00F94340"/>
    <w:rsid w:val="00F9487C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00F0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E418B-F0B9-4D67-98DA-F8CE06A0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7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 Юлия</cp:lastModifiedBy>
  <cp:revision>102</cp:revision>
  <cp:lastPrinted>2023-05-30T09:23:00Z</cp:lastPrinted>
  <dcterms:created xsi:type="dcterms:W3CDTF">2023-03-03T02:52:00Z</dcterms:created>
  <dcterms:modified xsi:type="dcterms:W3CDTF">2023-05-30T09:40:00Z</dcterms:modified>
</cp:coreProperties>
</file>