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CD49A3" w:rsidRPr="00B363BE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052982" w:rsidRDefault="00052982" w:rsidP="00BF226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052982" w:rsidRPr="00A741FD" w:rsidRDefault="00052982" w:rsidP="00052982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№ 321-ЗЗК «О нормативных правовых актах Забайкальского края» - разработчика проекта нормативного правового акта Забайкальского края (далее соответственно – разработчик, проект НПА):</w:t>
            </w:r>
          </w:p>
          <w:p w:rsidR="00C63F0B" w:rsidRPr="00604C54" w:rsidRDefault="00C63F0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55459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Министерством физической культуры и спорта Забайкальского края </w:t>
            </w:r>
            <w:r w:rsidR="001A3D7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дата начала и окончания публичного обсуждения)</w:t>
            </w:r>
          </w:p>
          <w:p w:rsidR="00052982" w:rsidRPr="00604C54" w:rsidRDefault="00052982" w:rsidP="00996C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926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A4045C" w:rsidRPr="00A4045C" w:rsidRDefault="00A4045C" w:rsidP="00A4045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404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Проект постановления Правительства Забайкальского края </w:t>
            </w:r>
            <w:r w:rsidRPr="0092584A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55459D" w:rsidRPr="005545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Об утверждении Порядка предоставления 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="0055459D" w:rsidRPr="005545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экокурорта</w:t>
            </w:r>
            <w:proofErr w:type="spellEnd"/>
            <w:r w:rsidR="0055459D" w:rsidRPr="005545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</w:t>
            </w:r>
            <w:r w:rsidR="0055459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052982" w:rsidRPr="00604C54" w:rsidRDefault="00052982" w:rsidP="00A40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052982" w:rsidRPr="00604C54" w:rsidRDefault="0047283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Проектом постановления</w:t>
            </w:r>
            <w:r w:rsidR="0055459D">
              <w:t xml:space="preserve"> </w:t>
            </w:r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Правительства Забайкальского края «Об утверждении Порядка предоставления 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края»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определяет категории юридических лиц (за исключением государственных (муниципальных) учреждений), имеющих право на получение в 2024 и 2025 годах субсидий на финансовое обеспечение затрат для Создания закрытого бассейна в границах </w:t>
            </w:r>
            <w:proofErr w:type="spellStart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  <w:r w:rsidRP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.6. Основание для разработки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проекта НПА: </w:t>
            </w:r>
          </w:p>
          <w:p w:rsidR="00765E59" w:rsidRDefault="00765E59" w:rsidP="00765E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A2B9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Утверждение постановлением Правительства Российской Федерации от 25 октября 2023 года № 1782 Общий требований к нормативным </w:t>
            </w:r>
            <w:r w:rsidRPr="002A2B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правовым актам, муниципальным </w:t>
            </w:r>
            <w:r w:rsidRPr="002A2B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 и проведение отборов получателей указанных субсидий, в том числе грантов в форме субсидий</w:t>
            </w:r>
            <w:r w:rsidR="0055459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52982" w:rsidRPr="00604C54" w:rsidRDefault="0055459D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1.7. Краткое описание целей предлагаемого регулирования: </w:t>
            </w:r>
          </w:p>
          <w:p w:rsidR="00DB06E7" w:rsidRPr="00604C54" w:rsidRDefault="00DB06E7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55459D" w:rsidRPr="00604C54" w:rsidRDefault="0055459D" w:rsidP="005545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Проектом постановления</w:t>
            </w:r>
            <w:r>
              <w:t xml:space="preserve"> </w:t>
            </w:r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Правительства Забайкальского края «Об утверждении Порядка предоставления 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края»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определяет категории юридических лиц (за исключением государственных (муниципальных) учреждений), имеющих право на получение в 2024 и 2025 годах субсидий на финансовое обеспечение затрат для Создания закрытого бассейна в границах </w:t>
            </w:r>
            <w:proofErr w:type="spellStart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</w:t>
            </w:r>
          </w:p>
          <w:p w:rsidR="00052982" w:rsidRPr="00604C54" w:rsidRDefault="0055459D" w:rsidP="005545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55459D" w:rsidRPr="00604C54" w:rsidRDefault="0055459D" w:rsidP="0055459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Проектом постановления</w:t>
            </w:r>
            <w:r>
              <w:t xml:space="preserve"> </w:t>
            </w:r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Правительства Забайкальского края «Об утверждении Порядка предоставления 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края»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определяет категории юридических лиц (за исключением государственных (муниципальных) учреждений), имеющих право на получение в 2024 и 2025 годах субсидий на финансовое обеспечение затрат для Создания закрытого бассейна в границах </w:t>
            </w:r>
            <w:proofErr w:type="spellStart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</w:t>
            </w:r>
          </w:p>
          <w:p w:rsidR="00052982" w:rsidRPr="00604C54" w:rsidRDefault="0055459D" w:rsidP="005545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rPr>
          <w:trHeight w:val="1455"/>
        </w:trPr>
        <w:tc>
          <w:tcPr>
            <w:tcW w:w="9344" w:type="dxa"/>
          </w:tcPr>
          <w:p w:rsidR="00052982" w:rsidRPr="001136F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1.9. </w:t>
            </w:r>
            <w:r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Контактная информация об исполнителе разработчика:</w:t>
            </w:r>
          </w:p>
          <w:p w:rsidR="00052982" w:rsidRPr="001136F2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Ф.И.О. (отчество – при наличии): </w:t>
            </w:r>
            <w:proofErr w:type="spellStart"/>
            <w:r w:rsidR="001136F2"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Чугуевская</w:t>
            </w:r>
            <w:proofErr w:type="spellEnd"/>
            <w:r w:rsidR="001136F2"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Олеся Сергеевна</w:t>
            </w:r>
          </w:p>
          <w:p w:rsidR="00052982" w:rsidRPr="001136F2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Должность: </w:t>
            </w:r>
            <w:r w:rsidR="0071015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начальник отдела организаци</w:t>
            </w:r>
            <w:r w:rsidR="001136F2"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онной, кадровой и юридической работы</w:t>
            </w:r>
          </w:p>
          <w:p w:rsidR="00052982" w:rsidRPr="001136F2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Телефон:</w:t>
            </w:r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8 (3022) 40-09-76</w:t>
            </w:r>
          </w:p>
          <w:p w:rsidR="00052982" w:rsidRPr="00E448E7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136F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Адрес электронной почты:</w:t>
            </w:r>
            <w:r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chuguevskaya</w:t>
            </w:r>
            <w:proofErr w:type="spellEnd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@</w:t>
            </w:r>
            <w:proofErr w:type="spellStart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minsport</w:t>
            </w:r>
            <w:proofErr w:type="spellEnd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</w:t>
            </w:r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zab</w:t>
            </w:r>
            <w:proofErr w:type="spellEnd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="001136F2" w:rsidRPr="001136F2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52982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</w:tcPr>
          <w:p w:rsidR="00052982" w:rsidRPr="00860361" w:rsidRDefault="009974D9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442327" w:rsidRPr="00860361">
              <w:rPr>
                <w:rFonts w:ascii="Times New Roman" w:hAnsi="Times New Roman"/>
                <w:sz w:val="24"/>
                <w:szCs w:val="24"/>
              </w:rPr>
              <w:t xml:space="preserve"> степень регулирующего воздействия</w:t>
            </w: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2.2. Обоснование отнесения проекта нормативного правового акта к определенной степени регулирующего воздействия***:</w:t>
            </w:r>
          </w:p>
          <w:p w:rsidR="00850516" w:rsidRDefault="00795C60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роект НПА края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не 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содержит положени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й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приводящи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 возникновению ранее не предусмотренных НПА края расходов и (или) снижению доходов субъектов предпринимательской и иной экономической деятельности, бюджета Забайкальского края</w:t>
            </w:r>
          </w:p>
          <w:p w:rsidR="00052982" w:rsidRPr="00604C54" w:rsidRDefault="00052982" w:rsidP="008505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</w:t>
            </w:r>
            <w:r w:rsidR="002152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аправлен предлагаемый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способ регулирования, условий и факторов ее существования: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Отсутствие порядка предоставления </w:t>
            </w:r>
            <w:proofErr w:type="spellStart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предоставления</w:t>
            </w:r>
            <w:proofErr w:type="spellEnd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</w:t>
            </w:r>
          </w:p>
          <w:p w:rsidR="00052982" w:rsidRPr="00604C54" w:rsidRDefault="00052982" w:rsidP="009974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AE3DB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Невозможность предоставления</w:t>
            </w:r>
            <w:r w:rsidR="00787B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экокурорта</w:t>
            </w:r>
            <w:proofErr w:type="spellEnd"/>
            <w:r w:rsidR="0055459D" w:rsidRPr="005545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6A7CCD" w:rsidRPr="006A7CCD" w:rsidRDefault="00765E59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65E59">
              <w:rPr>
                <w:rFonts w:eastAsia="Calibri"/>
                <w:b w:val="0"/>
                <w:sz w:val="24"/>
                <w:szCs w:val="24"/>
                <w:u w:val="single"/>
                <w:lang w:eastAsia="en-US"/>
              </w:rPr>
              <w:t>Постановление Правительства Российской Федерации от 25 октября 2023 года № 1782 «</w:t>
            </w:r>
            <w:r w:rsidRPr="00765E59">
              <w:rPr>
                <w:b w:val="0"/>
                <w:color w:val="000000"/>
                <w:sz w:val="24"/>
                <w:szCs w:val="24"/>
                <w:u w:val="single"/>
              </w:rPr>
              <w:t xml:space="preserve">Об утверждении </w:t>
            </w:r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 xml:space="preserve">общих требований к нормативным </w:t>
            </w:r>
            <w:r w:rsidRPr="00765E59">
              <w:rPr>
                <w:b w:val="0"/>
                <w:sz w:val="24"/>
                <w:szCs w:val="24"/>
                <w:u w:val="single"/>
              </w:rPr>
              <w:t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 товаров, работ, услуг и проведение отборов получателей указанных субсидий, в том числе грантов в форме субсидий</w:t>
            </w:r>
            <w:r w:rsidR="006A7CCD">
              <w:rPr>
                <w:b w:val="0"/>
                <w:color w:val="000000"/>
                <w:sz w:val="24"/>
                <w:szCs w:val="24"/>
              </w:rPr>
              <w:t>; Стать</w:t>
            </w:r>
            <w:r w:rsidR="0055459D">
              <w:rPr>
                <w:b w:val="0"/>
                <w:color w:val="000000"/>
                <w:sz w:val="24"/>
                <w:szCs w:val="24"/>
              </w:rPr>
              <w:t>я</w:t>
            </w:r>
            <w:r>
              <w:rPr>
                <w:b w:val="0"/>
                <w:color w:val="000000"/>
                <w:sz w:val="24"/>
                <w:szCs w:val="24"/>
              </w:rPr>
              <w:t xml:space="preserve"> 78</w:t>
            </w:r>
            <w:r w:rsidR="0055459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6A7CCD">
              <w:rPr>
                <w:b w:val="0"/>
                <w:color w:val="000000"/>
                <w:sz w:val="24"/>
                <w:szCs w:val="24"/>
              </w:rPr>
              <w:t>Бюджетного кодекса Российской Федерации</w:t>
            </w:r>
          </w:p>
          <w:p w:rsidR="00052982" w:rsidRPr="00604C54" w:rsidRDefault="0095695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052982" w:rsidRPr="00604C54" w:rsidRDefault="00E167B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Иные варианты решения проблемы отсутствуют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3.5. Источники данных:</w:t>
            </w:r>
          </w:p>
          <w:p w:rsidR="00052982" w:rsidRPr="004B6FCB" w:rsidRDefault="00765E59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 xml:space="preserve">Справочно-правовая система «Консультант </w:t>
            </w:r>
            <w:proofErr w:type="gramStart"/>
            <w:r w:rsidRPr="00765E59">
              <w:rPr>
                <w:rFonts w:eastAsia="Calibri" w:cs="Calibri"/>
                <w:b w:val="0"/>
                <w:sz w:val="24"/>
                <w:szCs w:val="24"/>
                <w:u w:val="single"/>
                <w:lang w:eastAsia="en-US"/>
              </w:rPr>
              <w:t>Плюс</w:t>
            </w:r>
            <w:r w:rsidRPr="00063B01">
              <w:rPr>
                <w:rFonts w:eastAsia="Calibri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eastAsia="Calibri" w:cs="Calibri"/>
                <w:sz w:val="24"/>
                <w:szCs w:val="24"/>
                <w:lang w:eastAsia="en-US"/>
              </w:rPr>
              <w:t>_</w:t>
            </w:r>
            <w:proofErr w:type="gramEnd"/>
            <w:r w:rsidRPr="00063B01">
              <w:rPr>
                <w:rFonts w:eastAsia="Calibri" w:cs="Calibri"/>
                <w:sz w:val="24"/>
                <w:szCs w:val="24"/>
                <w:lang w:eastAsia="en-US"/>
              </w:rPr>
              <w:t>_________</w:t>
            </w:r>
            <w:r w:rsidR="00052982" w:rsidRPr="00604C54">
              <w:rPr>
                <w:rFonts w:eastAsia="Calibri" w:cs="Calibri"/>
                <w:sz w:val="24"/>
                <w:szCs w:val="24"/>
                <w:lang w:eastAsia="en-US"/>
              </w:rPr>
              <w:t>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5A1CDE" w:rsidRDefault="00052982" w:rsidP="005A1CD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5A1C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Количественные характеристики и иная информация о проблеме: </w:t>
            </w:r>
          </w:p>
          <w:p w:rsidR="00052982" w:rsidRPr="00A4045C" w:rsidRDefault="00A4045C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</w:t>
            </w:r>
            <w:r w:rsidR="00C947E3"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ополнительные расходы из бюджета Забайкальского края</w:t>
            </w: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не потребуются.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B85BB7" w:rsidRDefault="00052982" w:rsidP="00B85BB7">
            <w:pPr>
              <w:spacing w:after="0" w:line="240" w:lineRule="auto"/>
              <w:rPr>
                <w:rFonts w:ascii="Times New Roman" w:hAnsi="Times New Roman"/>
              </w:rPr>
            </w:pPr>
            <w:r w:rsidRPr="00B85BB7">
              <w:rPr>
                <w:rFonts w:ascii="Times New Roman" w:eastAsia="Calibri" w:hAnsi="Times New Roman"/>
                <w:lang w:eastAsia="en-US"/>
              </w:rPr>
              <w:lastRenderedPageBreak/>
              <w:t>4.1 Опыт субъектов Российской Федерации в соответствующих сферах деятельности: __</w:t>
            </w:r>
            <w:r w:rsidR="003366FB" w:rsidRPr="00B85BB7">
              <w:rPr>
                <w:rFonts w:ascii="Times New Roman" w:hAnsi="Times New Roman"/>
              </w:rPr>
              <w:t xml:space="preserve">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052982" w:rsidRPr="00063B01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Справочно-правовая система «</w:t>
            </w:r>
            <w:r w:rsidR="000E11E5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Консультант </w:t>
            </w:r>
            <w:proofErr w:type="gramStart"/>
            <w:r w:rsidR="000E11E5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Плюс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proofErr w:type="gramEnd"/>
            <w:r w:rsidRPr="00063B0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052982" w:rsidRPr="00A741FD" w:rsidTr="000E09C9">
        <w:trPr>
          <w:trHeight w:val="1395"/>
        </w:trPr>
        <w:tc>
          <w:tcPr>
            <w:tcW w:w="289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</w:tr>
      <w:tr w:rsidR="00052982" w:rsidRPr="00A741FD" w:rsidTr="000E09C9">
        <w:trPr>
          <w:trHeight w:val="833"/>
        </w:trPr>
        <w:tc>
          <w:tcPr>
            <w:tcW w:w="2897" w:type="dxa"/>
          </w:tcPr>
          <w:p w:rsidR="009126A0" w:rsidRPr="00E4148F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(Цель 1)</w:t>
            </w:r>
            <w:r w:rsidR="00F21108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Принятие нормативного правового акты регламентирующего 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( место</w:t>
            </w:r>
            <w:proofErr w:type="gramEnd"/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</w:tcPr>
          <w:p w:rsidR="00052982" w:rsidRPr="00E4148F" w:rsidRDefault="00333FB4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1" w:type="dxa"/>
          </w:tcPr>
          <w:p w:rsidR="009126A0" w:rsidRDefault="00052982" w:rsidP="00D550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1)</w:t>
            </w:r>
            <w:r w:rsidR="00D550F9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                               </w:t>
            </w:r>
            <w:proofErr w:type="gramStart"/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( место</w:t>
            </w:r>
            <w:proofErr w:type="gramEnd"/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52982" w:rsidRPr="00A741FD" w:rsidTr="000E09C9">
        <w:trPr>
          <w:trHeight w:val="1395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052982" w:rsidRPr="00F30426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  <w:r w:rsidR="00CD642C"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соответствии с Бюджетным кодексом Р</w:t>
            </w:r>
            <w:r w:rsidR="00CD642C" w:rsidRPr="009258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оссийской Федерации,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92584A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рамках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реализации </w:t>
            </w:r>
            <w:r w:rsidR="000C166D" w:rsidRPr="000C166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государственной программы Забайкальского края «Развитие физической культуры и спорта в Забайкальском крае», утвержденной постановлением Правительства Забайкальского края от 30 июня 2014 года № 381</w:t>
            </w: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413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  <w:r w:rsidR="00E3371F">
              <w:t xml:space="preserve">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6. Описание содержания предлагаемого правового регулирования </w:t>
      </w:r>
      <w:r w:rsidRPr="00051D73">
        <w:rPr>
          <w:rFonts w:ascii="Times New Roman" w:hAnsi="Times New Roman"/>
          <w:sz w:val="28"/>
          <w:szCs w:val="28"/>
          <w:highlight w:val="yellow"/>
        </w:rPr>
        <w:t>и альтернативных вариантов решения проблемы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2982" w:rsidRPr="00A741FD" w:rsidTr="007A6AA5">
        <w:trPr>
          <w:trHeight w:val="103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:rsidR="00052982" w:rsidRPr="00337C85" w:rsidRDefault="00337C85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Утверждение</w:t>
            </w:r>
            <w:r w:rsidR="00CD642C"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0C166D" w:rsidRPr="000C166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порядка предоставления </w:t>
            </w:r>
            <w:proofErr w:type="spellStart"/>
            <w:r w:rsidR="000C166D" w:rsidRPr="000C166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предоставления</w:t>
            </w:r>
            <w:proofErr w:type="spellEnd"/>
            <w:r w:rsidR="000C166D" w:rsidRPr="000C166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субсидий в 2024 и 2025 годах из бюджета Забайкальского края юридическим лицам (за исключением субсидий государственным (муниципальным) учреждениям на финансовое обеспечение затрат для Создания закрытого бассейна в границах </w:t>
            </w:r>
            <w:proofErr w:type="spellStart"/>
            <w:r w:rsidR="000C166D" w:rsidRPr="000C166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экокурорта</w:t>
            </w:r>
            <w:proofErr w:type="spellEnd"/>
            <w:r w:rsidR="000C166D" w:rsidRPr="000C166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«Кука» и благоустройства прилегающей территории в рамках Плана социального развития центров экономического роста Забайкальского края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color w:val="FF3838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_</w:t>
            </w:r>
            <w:r w:rsidR="00D61743" w:rsidRPr="00051D73">
              <w:rPr>
                <w:rFonts w:ascii="Times New Roman" w:eastAsia="Calibri" w:hAnsi="Times New Roman" w:cs="Calibri"/>
                <w:sz w:val="24"/>
                <w:szCs w:val="24"/>
                <w:highlight w:val="yellow"/>
                <w:u w:val="single"/>
                <w:lang w:eastAsia="en-US"/>
              </w:rPr>
              <w:t>Иные варианты решения проблемы отсутствуют</w:t>
            </w:r>
            <w:r w:rsidRPr="00051D73">
              <w:rPr>
                <w:rFonts w:ascii="Times New Roman" w:eastAsia="Calibri" w:hAnsi="Times New Roman" w:cs="Calibri"/>
                <w:sz w:val="24"/>
                <w:szCs w:val="24"/>
                <w:highlight w:val="yellow"/>
                <w:lang w:eastAsia="en-US"/>
              </w:rPr>
              <w:t>__________________________</w:t>
            </w:r>
            <w:bookmarkStart w:id="0" w:name="_GoBack"/>
            <w:bookmarkEnd w:id="0"/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6.3. Обоснование выбора предлагаемого способа решения проблемы:</w:t>
            </w:r>
          </w:p>
          <w:p w:rsidR="00052982" w:rsidRPr="00E54CEC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E54CEC" w:rsidRPr="00E54CE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требование Федерального законодательства</w:t>
            </w:r>
            <w:r w:rsidRPr="00E54C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052982" w:rsidRPr="00C72FB0" w:rsidRDefault="00C72FB0" w:rsidP="007A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Приведение в соответствие с действующими НПА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052982" w:rsidRPr="00A741FD" w:rsidTr="009C2BD5">
        <w:trPr>
          <w:trHeight w:val="1125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A4045C" w:rsidRPr="00604C54" w:rsidRDefault="00FB51EE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</w:t>
            </w:r>
            <w:r w:rsidR="00A4045C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 xml:space="preserve">Некоммерческие </w:t>
            </w:r>
            <w:proofErr w:type="gramStart"/>
            <w:r w:rsidR="004A1E10" w:rsidRPr="004A1E10">
              <w:rPr>
                <w:rFonts w:ascii="Times New Roman" w:hAnsi="Times New Roman"/>
                <w:sz w:val="24"/>
                <w:szCs w:val="28"/>
              </w:rPr>
              <w:t xml:space="preserve">организации </w:t>
            </w:r>
            <w:r w:rsidR="004A1E10" w:rsidRPr="004A1E10">
              <w:rPr>
                <w:sz w:val="24"/>
                <w:szCs w:val="28"/>
              </w:rPr>
              <w:t xml:space="preserve"> 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End"/>
            <w:r w:rsidR="004A1E10" w:rsidRPr="004A1E10">
              <w:rPr>
                <w:rFonts w:ascii="Times New Roman" w:hAnsi="Times New Roman"/>
                <w:sz w:val="24"/>
                <w:szCs w:val="28"/>
              </w:rPr>
              <w:t>за исключением государственных (муниципальных) учреждений), осуществляющие деятельность в сфере туризма</w:t>
            </w:r>
          </w:p>
          <w:p w:rsidR="00052982" w:rsidRPr="00604C54" w:rsidRDefault="00052982" w:rsidP="00FB51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2503F2" w:rsidRPr="009C2BD5" w:rsidRDefault="00052982" w:rsidP="009C2B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(описание группы субъектов предпринимательской и иной экономической дея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softHyphen/>
              <w:t>тельности, при возможности с указанием наи</w:t>
            </w:r>
            <w:r w:rsidR="009C2BD5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менований, электронных адресов)</w:t>
            </w: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7.2 Оценка количества участников отношений:</w:t>
            </w:r>
          </w:p>
          <w:p w:rsidR="00C72FB0" w:rsidRDefault="00C72FB0" w:rsidP="00C72F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2754D9" w:rsidRPr="00E955FC" w:rsidRDefault="002754D9" w:rsidP="00E955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2982" w:rsidRPr="00A741FD" w:rsidTr="000E09C9">
        <w:trPr>
          <w:trHeight w:val="1111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7.3. описание иных групп участников отношений:</w:t>
            </w:r>
          </w:p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(описание иных групп заинтересованных лиц)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129"/>
        </w:trPr>
        <w:tc>
          <w:tcPr>
            <w:tcW w:w="9368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</w:t>
            </w:r>
            <w:r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6A07E3" w:rsidRPr="00A741FD" w:rsidTr="000E09C9">
        <w:tc>
          <w:tcPr>
            <w:tcW w:w="28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вводимых предлагаемым регулированием </w:t>
            </w: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участника регулирования: __</w:t>
            </w:r>
            <w:r w:rsidR="005E7F2F" w:rsidRPr="005E7F2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Правительство Забайкальского края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6A07E3" w:rsidRPr="00A741FD" w:rsidTr="000E09C9">
        <w:tc>
          <w:tcPr>
            <w:tcW w:w="2830" w:type="dxa"/>
            <w:vMerge w:val="restart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2503F2" w:rsidRPr="004A1E10" w:rsidRDefault="00052982" w:rsidP="005545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="00E9099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202</w:t>
            </w:r>
            <w:r w:rsidR="0055459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  <w:r w:rsidR="004A1E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0 </w:t>
            </w:r>
            <w:r w:rsidR="00E9099A" w:rsidRPr="00E9099A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2687" w:type="dxa"/>
          </w:tcPr>
          <w:p w:rsidR="00052982" w:rsidRPr="00604C54" w:rsidRDefault="00AC60EB" w:rsidP="00126F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Итого единовременные расходы:</w:t>
            </w:r>
          </w:p>
        </w:tc>
        <w:tc>
          <w:tcPr>
            <w:tcW w:w="2687" w:type="dxa"/>
          </w:tcPr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  <w:r w:rsidR="00C1293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бюджета Забайкальского края не возникает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  <w:p w:rsidR="00052982" w:rsidRPr="00604C54" w:rsidRDefault="00637B9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занностей, ответственности и ограничений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3258" w:type="dxa"/>
          </w:tcPr>
          <w:p w:rsidR="00052982" w:rsidRPr="00604C54" w:rsidRDefault="00857AD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2841C9" w:rsidRPr="002841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новых или изменения содержания существующих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6E4A1A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BF2267">
        <w:trPr>
          <w:trHeight w:val="725"/>
        </w:trPr>
        <w:tc>
          <w:tcPr>
            <w:tcW w:w="9350" w:type="dxa"/>
            <w:gridSpan w:val="3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</w:t>
            </w:r>
            <w:r w:rsidR="00626BA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04A30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304A30" w:rsidRPr="00A741FD" w:rsidTr="000E09C9">
        <w:tc>
          <w:tcPr>
            <w:tcW w:w="4672" w:type="dxa"/>
          </w:tcPr>
          <w:p w:rsidR="00052982" w:rsidRPr="00604C54" w:rsidRDefault="00AC60E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</w:t>
            </w:r>
            <w:r w:rsidR="00BE56FB"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ет</w:t>
            </w:r>
            <w:r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рисков негативных последствий</w:t>
            </w:r>
            <w:r w:rsidR="00BE56F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</w:t>
            </w:r>
            <w:r w:rsidR="001E265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11.3.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76"/>
      </w:tblGrid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052982" w:rsidRPr="00604C54" w:rsidRDefault="009126A0" w:rsidP="009126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Нормативный правовой акт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вступает в силу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 следующий день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со дня его официального опубликова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ни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</w:p>
        </w:tc>
      </w:tr>
      <w:tr w:rsidR="00052982" w:rsidRPr="00A741FD" w:rsidTr="000E09C9">
        <w:tc>
          <w:tcPr>
            <w:tcW w:w="45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</w:t>
            </w:r>
            <w:r w:rsidR="0027028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Да/Нет</w:t>
            </w:r>
          </w:p>
        </w:tc>
        <w:tc>
          <w:tcPr>
            <w:tcW w:w="4813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(дней с момента принятия нормативного правового акта)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</w:t>
            </w:r>
            <w:r w:rsidR="0017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 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Указываются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**</w:t>
      </w:r>
      <w:proofErr w:type="gramStart"/>
      <w:r>
        <w:rPr>
          <w:rFonts w:ascii="Times New Roman" w:hAnsi="Times New Roman"/>
          <w:sz w:val="20"/>
          <w:szCs w:val="20"/>
        </w:rPr>
        <w:t xml:space="preserve">*  </w:t>
      </w:r>
      <w:r w:rsidRPr="00A741FD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A741FD">
        <w:rPr>
          <w:rFonts w:ascii="Times New Roman" w:hAnsi="Times New Roman"/>
          <w:sz w:val="20"/>
          <w:szCs w:val="20"/>
        </w:rPr>
        <w:t xml:space="preserve">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052982" w:rsidRDefault="00052982" w:rsidP="00052982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75405" w:rsidRDefault="00D75405"/>
    <w:sectPr w:rsidR="00D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8E3"/>
    <w:multiLevelType w:val="hybridMultilevel"/>
    <w:tmpl w:val="5CA4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65"/>
    <w:rsid w:val="00014C89"/>
    <w:rsid w:val="00051D73"/>
    <w:rsid w:val="00052982"/>
    <w:rsid w:val="00063B01"/>
    <w:rsid w:val="000B56DF"/>
    <w:rsid w:val="000C166D"/>
    <w:rsid w:val="000C72A6"/>
    <w:rsid w:val="000D4821"/>
    <w:rsid w:val="000E09C9"/>
    <w:rsid w:val="000E11E5"/>
    <w:rsid w:val="000F0BEB"/>
    <w:rsid w:val="00104089"/>
    <w:rsid w:val="00104BA9"/>
    <w:rsid w:val="001136F2"/>
    <w:rsid w:val="00117A1E"/>
    <w:rsid w:val="00126F6F"/>
    <w:rsid w:val="00127BA5"/>
    <w:rsid w:val="00150277"/>
    <w:rsid w:val="00155CCC"/>
    <w:rsid w:val="00173A6C"/>
    <w:rsid w:val="0018721B"/>
    <w:rsid w:val="001A3D79"/>
    <w:rsid w:val="001A4865"/>
    <w:rsid w:val="001A493A"/>
    <w:rsid w:val="001D1D4A"/>
    <w:rsid w:val="001D44AA"/>
    <w:rsid w:val="001E2652"/>
    <w:rsid w:val="0021282F"/>
    <w:rsid w:val="00215249"/>
    <w:rsid w:val="002503F2"/>
    <w:rsid w:val="00257B11"/>
    <w:rsid w:val="00270283"/>
    <w:rsid w:val="002754D9"/>
    <w:rsid w:val="002841C9"/>
    <w:rsid w:val="002D2703"/>
    <w:rsid w:val="002D38B3"/>
    <w:rsid w:val="002E577A"/>
    <w:rsid w:val="00304A30"/>
    <w:rsid w:val="00310C33"/>
    <w:rsid w:val="00333FB4"/>
    <w:rsid w:val="003366FB"/>
    <w:rsid w:val="00337C85"/>
    <w:rsid w:val="00373063"/>
    <w:rsid w:val="00383CF7"/>
    <w:rsid w:val="003A051A"/>
    <w:rsid w:val="003A58DF"/>
    <w:rsid w:val="004244EF"/>
    <w:rsid w:val="00435C50"/>
    <w:rsid w:val="00442327"/>
    <w:rsid w:val="00472833"/>
    <w:rsid w:val="004A1E10"/>
    <w:rsid w:val="004B6FCB"/>
    <w:rsid w:val="004E07DA"/>
    <w:rsid w:val="004F0299"/>
    <w:rsid w:val="00544D09"/>
    <w:rsid w:val="0055459D"/>
    <w:rsid w:val="0056110B"/>
    <w:rsid w:val="00565243"/>
    <w:rsid w:val="005A1CDE"/>
    <w:rsid w:val="005B23BF"/>
    <w:rsid w:val="005B5E47"/>
    <w:rsid w:val="005C45CB"/>
    <w:rsid w:val="005E7F2F"/>
    <w:rsid w:val="005F34C9"/>
    <w:rsid w:val="005F7F63"/>
    <w:rsid w:val="00603E60"/>
    <w:rsid w:val="00626BAE"/>
    <w:rsid w:val="006334F9"/>
    <w:rsid w:val="006355FE"/>
    <w:rsid w:val="00637B92"/>
    <w:rsid w:val="006A07E3"/>
    <w:rsid w:val="006A7CCD"/>
    <w:rsid w:val="006B07C2"/>
    <w:rsid w:val="006B70DE"/>
    <w:rsid w:val="006D4157"/>
    <w:rsid w:val="006E4A1A"/>
    <w:rsid w:val="0071015C"/>
    <w:rsid w:val="00711AD6"/>
    <w:rsid w:val="007152FD"/>
    <w:rsid w:val="00765E59"/>
    <w:rsid w:val="00787B49"/>
    <w:rsid w:val="00791BC2"/>
    <w:rsid w:val="00795C60"/>
    <w:rsid w:val="007A6AA5"/>
    <w:rsid w:val="007A7D6D"/>
    <w:rsid w:val="007B7A91"/>
    <w:rsid w:val="0081099C"/>
    <w:rsid w:val="00850516"/>
    <w:rsid w:val="00852573"/>
    <w:rsid w:val="00857ADC"/>
    <w:rsid w:val="00860361"/>
    <w:rsid w:val="0089250E"/>
    <w:rsid w:val="008959A9"/>
    <w:rsid w:val="008D274A"/>
    <w:rsid w:val="008F27A1"/>
    <w:rsid w:val="008F5F3F"/>
    <w:rsid w:val="00911DF4"/>
    <w:rsid w:val="009126A0"/>
    <w:rsid w:val="00923818"/>
    <w:rsid w:val="0092584A"/>
    <w:rsid w:val="00956953"/>
    <w:rsid w:val="009609AE"/>
    <w:rsid w:val="009667BB"/>
    <w:rsid w:val="009933ED"/>
    <w:rsid w:val="00996C3F"/>
    <w:rsid w:val="009974D9"/>
    <w:rsid w:val="009C2BD5"/>
    <w:rsid w:val="009D75AF"/>
    <w:rsid w:val="009F33E4"/>
    <w:rsid w:val="009F6E70"/>
    <w:rsid w:val="00A2718F"/>
    <w:rsid w:val="00A4045C"/>
    <w:rsid w:val="00A737AA"/>
    <w:rsid w:val="00A7642C"/>
    <w:rsid w:val="00A821CD"/>
    <w:rsid w:val="00A838EF"/>
    <w:rsid w:val="00AC396F"/>
    <w:rsid w:val="00AC60EB"/>
    <w:rsid w:val="00AE3DB4"/>
    <w:rsid w:val="00AE65B8"/>
    <w:rsid w:val="00B10EBC"/>
    <w:rsid w:val="00B345CE"/>
    <w:rsid w:val="00B85BB7"/>
    <w:rsid w:val="00BD4684"/>
    <w:rsid w:val="00BD690A"/>
    <w:rsid w:val="00BE14DB"/>
    <w:rsid w:val="00BE56FB"/>
    <w:rsid w:val="00BF2267"/>
    <w:rsid w:val="00C12938"/>
    <w:rsid w:val="00C42239"/>
    <w:rsid w:val="00C63F0B"/>
    <w:rsid w:val="00C65D0D"/>
    <w:rsid w:val="00C72FB0"/>
    <w:rsid w:val="00C92356"/>
    <w:rsid w:val="00C947E3"/>
    <w:rsid w:val="00CA5D13"/>
    <w:rsid w:val="00CD218F"/>
    <w:rsid w:val="00CD49A3"/>
    <w:rsid w:val="00CD5EA6"/>
    <w:rsid w:val="00CD642C"/>
    <w:rsid w:val="00CF5E85"/>
    <w:rsid w:val="00D00AA1"/>
    <w:rsid w:val="00D03F55"/>
    <w:rsid w:val="00D550F9"/>
    <w:rsid w:val="00D61743"/>
    <w:rsid w:val="00D75405"/>
    <w:rsid w:val="00DA046F"/>
    <w:rsid w:val="00DB06E7"/>
    <w:rsid w:val="00DE4B74"/>
    <w:rsid w:val="00E0204A"/>
    <w:rsid w:val="00E167BC"/>
    <w:rsid w:val="00E3371F"/>
    <w:rsid w:val="00E36A4B"/>
    <w:rsid w:val="00E4148F"/>
    <w:rsid w:val="00E42956"/>
    <w:rsid w:val="00E448E7"/>
    <w:rsid w:val="00E54CEC"/>
    <w:rsid w:val="00E9099A"/>
    <w:rsid w:val="00E92B50"/>
    <w:rsid w:val="00E955FC"/>
    <w:rsid w:val="00E978C8"/>
    <w:rsid w:val="00EA4E51"/>
    <w:rsid w:val="00F21108"/>
    <w:rsid w:val="00F30426"/>
    <w:rsid w:val="00F31021"/>
    <w:rsid w:val="00F406F4"/>
    <w:rsid w:val="00F42F50"/>
    <w:rsid w:val="00F60782"/>
    <w:rsid w:val="00F84569"/>
    <w:rsid w:val="00F91C19"/>
    <w:rsid w:val="00FB51EE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E9A97-853E-4225-AFEC-7F36384B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styleId="a4">
    <w:name w:val="List Paragraph"/>
    <w:basedOn w:val="a"/>
    <w:uiPriority w:val="34"/>
    <w:qFormat/>
    <w:rsid w:val="00052982"/>
    <w:pPr>
      <w:ind w:left="720"/>
      <w:contextualSpacing/>
    </w:pPr>
  </w:style>
  <w:style w:type="character" w:customStyle="1" w:styleId="markedcontent">
    <w:name w:val="markedcontent"/>
    <w:basedOn w:val="a0"/>
    <w:rsid w:val="005A1CDE"/>
  </w:style>
  <w:style w:type="table" w:styleId="a5">
    <w:name w:val="Table Grid"/>
    <w:basedOn w:val="a1"/>
    <w:uiPriority w:val="59"/>
    <w:rsid w:val="005A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5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Кин</dc:creator>
  <cp:lastModifiedBy>Игнатьева Ольга</cp:lastModifiedBy>
  <cp:revision>5</cp:revision>
  <cp:lastPrinted>2023-03-16T00:09:00Z</cp:lastPrinted>
  <dcterms:created xsi:type="dcterms:W3CDTF">2024-05-03T03:49:00Z</dcterms:created>
  <dcterms:modified xsi:type="dcterms:W3CDTF">2024-11-08T03:05:00Z</dcterms:modified>
</cp:coreProperties>
</file>