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C95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 края «</w:t>
      </w:r>
      <w:r w:rsidR="00C9535A" w:rsidRPr="00C9535A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Забайкальского края от 1 ноября 2018 года № 464</w:t>
      </w:r>
      <w:r w:rsidR="00B57BAB">
        <w:rPr>
          <w:rFonts w:ascii="Times New Roman" w:hAnsi="Times New Roman" w:cs="Times New Roman"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C9535A" w:rsidRPr="00C9535A" w:rsidRDefault="00C9535A" w:rsidP="00C9535A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3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постановление Правительства </w:t>
            </w:r>
          </w:p>
          <w:p w:rsidR="00B30D42" w:rsidRPr="003E5A53" w:rsidRDefault="00C9535A" w:rsidP="00C9535A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35A">
              <w:rPr>
                <w:rFonts w:ascii="Times New Roman" w:hAnsi="Times New Roman" w:cs="Times New Roman"/>
                <w:bCs/>
                <w:sz w:val="20"/>
                <w:szCs w:val="20"/>
              </w:rPr>
              <w:t>Забайкальского края от 1 ноября 2018 года № 464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образования и науки </w:t>
            </w:r>
            <w:r w:rsidR="00CF3907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Забайкальского края</w:t>
            </w:r>
          </w:p>
          <w:p w:rsidR="00C9535A" w:rsidRPr="00C47A99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 28-52-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303C" w:rsidRPr="00D24129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  <w:r w:rsidR="00C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B5067D" w:rsidRDefault="00B5067D" w:rsidP="00C9535A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B5067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предоставление субсидий из бюджета Забайкальского края частным общеобразовательным организациям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  <w:p w:rsidR="005A68F7" w:rsidRPr="003E5A53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C9535A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приведени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е</w:t>
            </w:r>
            <w:r w:rsidRPr="00C9535A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нормативной правовой базы Забайкальского края в соответствие с действующим законодательством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BF7AC0" w:rsidP="0012450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Разработчиком не представлена информация о проблематике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ED68A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2</w:t>
            </w:r>
            <w:r w:rsidR="00ED6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ED68A8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386A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7604-1060-4EEC-8926-FF01E926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2024-12-20T04:37:00Z</dcterms:created>
  <dcterms:modified xsi:type="dcterms:W3CDTF">2024-12-20T04:37:00Z</dcterms:modified>
</cp:coreProperties>
</file>