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98063C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C83521">
        <w:rPr>
          <w:rFonts w:ascii="Times New Roman" w:hAnsi="Times New Roman"/>
          <w:b/>
          <w:sz w:val="28"/>
          <w:szCs w:val="24"/>
        </w:rPr>
        <w:t xml:space="preserve">о результатах проведения публичных консультаций по проекту </w:t>
      </w:r>
      <w:r w:rsidR="002C116B">
        <w:rPr>
          <w:rFonts w:ascii="Times New Roman" w:hAnsi="Times New Roman"/>
          <w:b/>
          <w:sz w:val="28"/>
          <w:szCs w:val="24"/>
        </w:rPr>
        <w:t>закона</w:t>
      </w:r>
      <w:r w:rsidR="00F043FE" w:rsidRPr="00F043FE">
        <w:rPr>
          <w:rFonts w:ascii="Times New Roman" w:hAnsi="Times New Roman"/>
          <w:b/>
          <w:sz w:val="28"/>
          <w:szCs w:val="24"/>
        </w:rPr>
        <w:t xml:space="preserve"> Забайкальского края </w:t>
      </w:r>
      <w:r w:rsidR="00684951">
        <w:rPr>
          <w:rFonts w:ascii="Times New Roman" w:hAnsi="Times New Roman"/>
          <w:b/>
          <w:sz w:val="28"/>
          <w:szCs w:val="24"/>
        </w:rPr>
        <w:t>«</w:t>
      </w:r>
      <w:r w:rsidR="00684951" w:rsidRPr="00684951">
        <w:rPr>
          <w:rFonts w:ascii="Times New Roman" w:hAnsi="Times New Roman"/>
          <w:b/>
          <w:sz w:val="28"/>
          <w:szCs w:val="24"/>
        </w:rPr>
        <w:t>О внесении изменения в статью 3 Закона Забайкальского края «Об ограничениях в сфере розничной продажи безалкогольных тонизирующих напитков»</w:t>
      </w:r>
    </w:p>
    <w:p w:rsidR="00300F0E" w:rsidRDefault="00300F0E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93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116B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C85E57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Забайкальского края </w:t>
      </w:r>
      <w:r w:rsidR="0068495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84951" w:rsidRPr="0068495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статью 3 Закона Забайкальского края «Об ограничениях в сфере розничной продажи безалкогольных тонизирующих напитков»</w:t>
      </w:r>
    </w:p>
    <w:p w:rsidR="0098063C" w:rsidRPr="0098063C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8063C" w:rsidRPr="0098063C">
        <w:rPr>
          <w:rFonts w:ascii="Times New Roman" w:eastAsia="Times New Roman" w:hAnsi="Times New Roman"/>
          <w:sz w:val="24"/>
          <w:szCs w:val="24"/>
          <w:lang w:eastAsia="ru-RU"/>
        </w:rPr>
        <w:t>Региональная служба по тарифам и цено</w:t>
      </w:r>
      <w:r w:rsidR="0098063C">
        <w:rPr>
          <w:rFonts w:ascii="Times New Roman" w:eastAsia="Times New Roman" w:hAnsi="Times New Roman"/>
          <w:sz w:val="24"/>
          <w:szCs w:val="24"/>
          <w:lang w:eastAsia="ru-RU"/>
        </w:rPr>
        <w:t>образованию Забайкальского края</w:t>
      </w:r>
    </w:p>
    <w:p w:rsidR="004B41C8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 w:rsidR="00AB7EB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B7EB3" w:rsidRPr="00AB7EB3">
        <w:t xml:space="preserve"> </w:t>
      </w:r>
      <w:hyperlink r:id="rId9" w:history="1">
        <w:r w:rsidR="00AB7EB3" w:rsidRPr="002B5BBD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https://minek.75.ru/deyatel-nost/ocenka-reguliruyuschego-vozdeystviya/ocenka-proektov/publichnye-konsul-tacii/publichnye-konsul-tacii-po-proektam-normativnyh-pravovyh-aktov/2025/392628-i-polugodie-2025-goda</w:t>
        </w:r>
      </w:hyperlink>
    </w:p>
    <w:p w:rsidR="00AB7EB3" w:rsidRPr="00C83521" w:rsidRDefault="00AB7EB3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98063C" w:rsidRPr="00C85E57">
        <w:rPr>
          <w:rFonts w:ascii="Times New Roman" w:hAnsi="Times New Roman"/>
          <w:b/>
          <w:sz w:val="24"/>
          <w:szCs w:val="24"/>
        </w:rPr>
        <w:t>с 9</w:t>
      </w:r>
      <w:r w:rsidR="004B41C8" w:rsidRPr="00C85E57">
        <w:rPr>
          <w:rFonts w:ascii="Times New Roman" w:hAnsi="Times New Roman"/>
          <w:b/>
          <w:sz w:val="24"/>
          <w:szCs w:val="24"/>
        </w:rPr>
        <w:t xml:space="preserve"> </w:t>
      </w:r>
      <w:r w:rsidR="0098063C" w:rsidRPr="00C85E57">
        <w:rPr>
          <w:rFonts w:ascii="Times New Roman" w:hAnsi="Times New Roman"/>
          <w:b/>
          <w:sz w:val="24"/>
          <w:szCs w:val="24"/>
        </w:rPr>
        <w:t>января по 29</w:t>
      </w:r>
      <w:r w:rsidR="004B41C8" w:rsidRPr="00C85E57">
        <w:rPr>
          <w:rFonts w:ascii="Times New Roman" w:hAnsi="Times New Roman"/>
          <w:b/>
          <w:sz w:val="24"/>
          <w:szCs w:val="24"/>
        </w:rPr>
        <w:t xml:space="preserve"> </w:t>
      </w:r>
      <w:r w:rsidR="0098063C" w:rsidRPr="00C85E57">
        <w:rPr>
          <w:rFonts w:ascii="Times New Roman" w:hAnsi="Times New Roman"/>
          <w:b/>
          <w:sz w:val="24"/>
          <w:szCs w:val="24"/>
        </w:rPr>
        <w:t>января 2025</w:t>
      </w:r>
      <w:r w:rsidR="004B41C8" w:rsidRPr="00C85E57">
        <w:rPr>
          <w:rFonts w:ascii="Times New Roman" w:hAnsi="Times New Roman"/>
          <w:b/>
          <w:sz w:val="24"/>
          <w:szCs w:val="24"/>
        </w:rPr>
        <w:t> года (включительно)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10B2D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Default="00C83521" w:rsidP="00A51C2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8063C" w:rsidRPr="00D65647">
        <w:rPr>
          <w:rFonts w:ascii="Times New Roman" w:eastAsia="Times New Roman" w:hAnsi="Times New Roman"/>
          <w:b/>
          <w:sz w:val="24"/>
          <w:szCs w:val="24"/>
          <w:lang w:eastAsia="ru-RU"/>
        </w:rPr>
        <w:t>30.01</w:t>
      </w:r>
      <w:r w:rsidR="00AF3043" w:rsidRPr="00D6564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8063C" w:rsidRPr="00D65647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</w:p>
    <w:p w:rsidR="00300F0E" w:rsidRPr="00AF3043" w:rsidRDefault="00300F0E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6029"/>
        <w:gridCol w:w="1628"/>
      </w:tblGrid>
      <w:tr w:rsidR="00C83521" w:rsidRPr="00350538" w:rsidTr="00ED5D2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ED5D22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98063C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8063C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3C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3C" w:rsidRPr="00C85E57" w:rsidRDefault="00C85E57" w:rsidP="00C85E57">
            <w:pPr>
              <w:pStyle w:val="a6"/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</w:t>
            </w:r>
            <w:r w:rsidR="0098063C" w:rsidRPr="00C85E57">
              <w:rPr>
                <w:rFonts w:ascii="Times New Roman" w:hAnsi="Times New Roman"/>
                <w:szCs w:val="20"/>
              </w:rPr>
              <w:t xml:space="preserve">носимое  изменение не противоречит федеральному законодательству, однако, от вводимых ограничений пострадают субъекты предпринимательской деятельности, </w:t>
            </w:r>
            <w:r>
              <w:rPr>
                <w:rFonts w:ascii="Times New Roman" w:hAnsi="Times New Roman"/>
                <w:szCs w:val="20"/>
              </w:rPr>
              <w:t>реализующие данные виды товаров;</w:t>
            </w:r>
          </w:p>
          <w:p w:rsidR="00500503" w:rsidRPr="00C85E57" w:rsidRDefault="00C85E57" w:rsidP="00C85E57">
            <w:pPr>
              <w:pStyle w:val="a6"/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</w:t>
            </w:r>
            <w:r w:rsidR="0098063C" w:rsidRPr="00C85E57">
              <w:rPr>
                <w:rFonts w:ascii="Times New Roman" w:hAnsi="Times New Roman"/>
                <w:szCs w:val="20"/>
              </w:rPr>
              <w:t>налогичные изменения внесены всего лишь в 1 субъекте РФ (Еврейская автономная область), в других субъектах данное ограничение отсутствует.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8900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0037" w:rsidRPr="003874C9" w:rsidTr="00ED5D22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Default="000C3B3C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Pr="009A48AB" w:rsidRDefault="000C3B3C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областная организация производителей и продавцов пивной и алкогольной продукции «ПИАП»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Default="000C3B3C" w:rsidP="00F10B2D">
            <w:pPr>
              <w:pStyle w:val="a6"/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введение предлагаемого ограничения времени продажи безалкогольных тонизирующих напитков в отношении совершеннолетних граждан является неэффективным. Считаем достаточным запрет продажи безалкогольных тонизирующих напитков (в том числе энергетических) несовершеннолетним, установленный Федеральным законом № 304-ФЗ;</w:t>
            </w:r>
          </w:p>
          <w:p w:rsidR="000C3B3C" w:rsidRDefault="0066544B" w:rsidP="00F10B2D">
            <w:pPr>
              <w:pStyle w:val="a6"/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т</w:t>
            </w:r>
            <w:r w:rsidR="000C3B3C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ехническим регламентов Таможенного союза 021/2011 «О безопасности пищевой продукции» </w:t>
            </w: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установлены жесткие требования к составу безалкогольных тонизирующих напитков. В регламенте установлено обязательное наличие информации о противопоказание к употреблению на упаковке любых безалкогольных напитков, содержащий кофеин. Совершеннолетний гражданин в состояние оценить риск употребления пищевой продукции и принять взвешенное решение;</w:t>
            </w:r>
          </w:p>
          <w:p w:rsidR="0066544B" w:rsidRDefault="0066544B" w:rsidP="00F10B2D">
            <w:pPr>
              <w:pStyle w:val="a6"/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введение запрета продажи безалкогольных тонизирующих напитков с 00 до 10 часов в первую очередь создаст неудобства для граждан, работающих в ночную смену или круглосуточно, которые являются основными покупателями тонизирующих продукции в ночное время. К ним </w:t>
            </w:r>
            <w:r w:rsidR="00E84D27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относятся сотрудники служб </w:t>
            </w:r>
            <w:r w:rsidR="00D25E92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жизнеобеспечения</w:t>
            </w:r>
            <w:r w:rsidR="00E84D27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 городов и других населенных пунктов, медицинские работники, водители и т.д.</w:t>
            </w:r>
          </w:p>
          <w:p w:rsidR="00E84D27" w:rsidRDefault="00E84D27" w:rsidP="00F10B2D">
            <w:pPr>
              <w:pStyle w:val="a6"/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планируемое изменение правил торговой деятельности создаст дополнительную нагрузку на легальный бизнес в связи с сокращением товарооборота. Подобная законодательная инициатива может привести к снижению объемов продаж в торговых точках, а также </w:t>
            </w:r>
            <w:proofErr w:type="gramStart"/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к</w:t>
            </w:r>
            <w:proofErr w:type="gramEnd"/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 массовым нарушением предпринимателями установленного </w:t>
            </w: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lastRenderedPageBreak/>
              <w:t xml:space="preserve">ограничения. Осуществление эффективного </w:t>
            </w:r>
            <w:proofErr w:type="gramStart"/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контроля соблюдения времени продаж безалкогольной тонизирующей продукции</w:t>
            </w:r>
            <w:proofErr w:type="gramEnd"/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 практически невозможно в силу недостаточности ресурсов;</w:t>
            </w:r>
          </w:p>
          <w:p w:rsidR="00E84D27" w:rsidRDefault="00E84D27" w:rsidP="00F10B2D">
            <w:pPr>
              <w:pStyle w:val="a6"/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вводимое ограничение станет основой формирование нелегального оборота продукции, сокращения объемов продажи и производства безалкогольных тонизирующих напитков, снижение </w:t>
            </w:r>
            <w:r w:rsidR="00D25E92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рентабельности</w:t>
            </w: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 трудовой деятельности субъектов малого и среднего бизнеса, сокращение поступлений </w:t>
            </w:r>
            <w:r w:rsidR="00D25E92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акциза в бюджетную систему;</w:t>
            </w:r>
          </w:p>
          <w:p w:rsidR="00D25E92" w:rsidRPr="000C3B3C" w:rsidRDefault="00D25E92" w:rsidP="00F10B2D">
            <w:pPr>
              <w:pStyle w:val="a6"/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действующее федеральное регулирование </w:t>
            </w:r>
            <w:proofErr w:type="gramStart"/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в отношение оборота</w:t>
            </w:r>
            <w:proofErr w:type="gramEnd"/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 безалкогольных тонизирующих напитков достаточное, просим отказаться от дополнительного регулирования на уровне субъектов.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037" w:rsidRPr="003874C9" w:rsidRDefault="00890037" w:rsidP="008900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890037" w:rsidRPr="003874C9" w:rsidTr="00ED5D22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Default="00D25E92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Pr="00D25E92" w:rsidRDefault="00D25E92" w:rsidP="00761366">
            <w:pPr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Филиал ООО «Пив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о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варенная компания «Бал</w:t>
            </w:r>
            <w:r w:rsidR="002A703B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ти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ка» - «Балтика-Новосибирск»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F4" w:rsidRPr="00BD0AF4" w:rsidRDefault="00D25E92" w:rsidP="00F10B2D">
            <w:pPr>
              <w:pStyle w:val="Standard"/>
              <w:numPr>
                <w:ilvl w:val="0"/>
                <w:numId w:val="49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считаем достаточным запрет продажи</w:t>
            </w:r>
            <w:r>
              <w:t xml:space="preserve"> </w:t>
            </w:r>
            <w:r w:rsidRPr="00D25E92">
              <w:rPr>
                <w:rFonts w:eastAsiaTheme="minorHAnsi" w:cstheme="minorBidi"/>
                <w:sz w:val="20"/>
                <w:szCs w:val="20"/>
                <w:lang w:val="ru-RU"/>
              </w:rPr>
              <w:t>безалкогольных тонизирующих напитков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несовершеннолетним, установленным Федеральным закон от 08.08.2024 № 304-ФЗ «О запрете продажи </w:t>
            </w:r>
            <w:r w:rsidR="00081902">
              <w:rPr>
                <w:sz w:val="20"/>
                <w:szCs w:val="20"/>
                <w:lang w:val="ru-RU"/>
              </w:rPr>
              <w:t>безалкогольных</w:t>
            </w:r>
            <w:r w:rsidR="00BD0AF4" w:rsidRPr="00BD0AF4">
              <w:rPr>
                <w:sz w:val="20"/>
                <w:szCs w:val="20"/>
              </w:rPr>
              <w:t xml:space="preserve"> </w:t>
            </w:r>
            <w:r w:rsidR="00081902">
              <w:rPr>
                <w:sz w:val="20"/>
                <w:szCs w:val="20"/>
                <w:lang w:val="ru-RU"/>
              </w:rPr>
              <w:t>тонизирующих</w:t>
            </w:r>
            <w:r w:rsidR="00BD0AF4" w:rsidRPr="00BD0AF4">
              <w:rPr>
                <w:sz w:val="20"/>
                <w:szCs w:val="20"/>
              </w:rPr>
              <w:t xml:space="preserve"> </w:t>
            </w:r>
            <w:r w:rsidR="00081902">
              <w:rPr>
                <w:sz w:val="20"/>
                <w:szCs w:val="20"/>
                <w:lang w:val="ru-RU"/>
              </w:rPr>
              <w:t>напитков</w:t>
            </w:r>
            <w:r w:rsidR="00BD0AF4" w:rsidRPr="00BD0A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(в том числе энергетических) </w:t>
            </w:r>
            <w:r w:rsidR="00BD0AF4">
              <w:rPr>
                <w:sz w:val="20"/>
                <w:szCs w:val="20"/>
                <w:lang w:val="ru-RU"/>
              </w:rPr>
              <w:t>несовершеннолетним</w:t>
            </w:r>
            <w:r>
              <w:rPr>
                <w:sz w:val="20"/>
                <w:szCs w:val="20"/>
                <w:lang w:val="ru-RU"/>
              </w:rPr>
              <w:t xml:space="preserve">…». </w:t>
            </w:r>
            <w:r w:rsidR="00BD0AF4">
              <w:rPr>
                <w:sz w:val="20"/>
                <w:szCs w:val="20"/>
                <w:lang w:val="ru-RU"/>
              </w:rPr>
              <w:t>Полагаем, что установление дополнительного регионального регулирования в указанной сфере является нецелесообразным и избыточным.</w:t>
            </w:r>
          </w:p>
          <w:p w:rsidR="00890037" w:rsidRPr="00BD0AF4" w:rsidRDefault="00081902" w:rsidP="00F10B2D">
            <w:pPr>
              <w:pStyle w:val="Standard"/>
              <w:numPr>
                <w:ilvl w:val="0"/>
                <w:numId w:val="49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="00BD0AF4">
              <w:rPr>
                <w:sz w:val="20"/>
                <w:szCs w:val="20"/>
                <w:lang w:val="ru-RU"/>
              </w:rPr>
              <w:t xml:space="preserve">егиональные ограничения, направленные на изменения правил торговой деятельности, особенно установление ограничений времени продажи </w:t>
            </w:r>
            <w:r>
              <w:rPr>
                <w:sz w:val="20"/>
                <w:szCs w:val="20"/>
                <w:lang w:val="ru-RU"/>
              </w:rPr>
              <w:t>безалкогольных</w:t>
            </w:r>
            <w:r w:rsidR="00BD0AF4" w:rsidRPr="00BD0A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тонизирующих</w:t>
            </w:r>
            <w:r w:rsidR="00BD0AF4" w:rsidRPr="00BD0A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напитков</w:t>
            </w:r>
            <w:r w:rsidR="00BD0AF4">
              <w:rPr>
                <w:sz w:val="20"/>
                <w:szCs w:val="20"/>
                <w:lang w:val="ru-RU"/>
              </w:rPr>
              <w:t>, создают дополнительную нагрузку на легальный бизнес. Существенная часть предприятий, особенно из числа малого бизнеса, находится сейчас в сложном экономическом положении. Требования, связанные с ужесточением контроля и администрирования, создают дополнительную финансовую нагрузку на предприятия малого и среднего бизнеса, ток как данная мера требует выстраивания систем контроля, обучения персонала;</w:t>
            </w:r>
          </w:p>
          <w:p w:rsidR="00BD0AF4" w:rsidRPr="00511998" w:rsidRDefault="00081902" w:rsidP="00F10B2D">
            <w:pPr>
              <w:pStyle w:val="Standard"/>
              <w:numPr>
                <w:ilvl w:val="0"/>
                <w:numId w:val="49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</w:t>
            </w:r>
            <w:r w:rsidR="00BD0AF4">
              <w:rPr>
                <w:sz w:val="20"/>
                <w:szCs w:val="20"/>
                <w:lang w:val="ru-RU"/>
              </w:rPr>
              <w:t xml:space="preserve"> контроля вводимых ограничений будет затруднено как в связи с нехваткой ресурсов надзорных органов, так и в связи со с</w:t>
            </w:r>
            <w:r w:rsidR="00511998">
              <w:rPr>
                <w:sz w:val="20"/>
                <w:szCs w:val="20"/>
                <w:lang w:val="ru-RU"/>
              </w:rPr>
              <w:t>ложностью доказывания нарушения;</w:t>
            </w:r>
          </w:p>
          <w:p w:rsidR="00511998" w:rsidRPr="00511998" w:rsidRDefault="00081902" w:rsidP="00F10B2D">
            <w:pPr>
              <w:pStyle w:val="Standard"/>
              <w:numPr>
                <w:ilvl w:val="0"/>
                <w:numId w:val="49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511998">
              <w:rPr>
                <w:sz w:val="20"/>
                <w:szCs w:val="20"/>
                <w:lang w:val="ru-RU"/>
              </w:rPr>
              <w:t>граничение розничной продажи безалкогольных тонизирующих напитков для совершеннолетних граждан является чрезмерным с точки зрения фактического приравнивания данной товарной категории к алкогольной продукции. Употребление безалкогольных тонизирующих напитков не приводит к состоянию опьянения или любому другому состоянию, характеризующемуся изменением поведенческих функций человека. Отсутствуют традиции массового употребления безалкогольных тонизирующих напитков компаниями в общественных пространствах, которые доставляли бы дискомфорт окружающим и требовали дополнительных ограничений времени и мест продажи таких напитков с целью обеспечений условий комфортного проживания;</w:t>
            </w:r>
          </w:p>
          <w:p w:rsidR="00511998" w:rsidRPr="00D25E92" w:rsidRDefault="00081902" w:rsidP="00F10B2D">
            <w:pPr>
              <w:pStyle w:val="Standard"/>
              <w:numPr>
                <w:ilvl w:val="0"/>
                <w:numId w:val="49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отказ от введения дополнительного регионального регулирования розничной продажи безалкогольных тонизирующих напитков поможет сократить загруженность контрольно-надзорных органов, вместе с тем не окажет негативного влияния на здоровье совершеннолетних граждан.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Pr="00293DBC" w:rsidRDefault="00890037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81902" w:rsidRPr="003874C9" w:rsidTr="00ED5D22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02" w:rsidRDefault="00081902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02" w:rsidRDefault="00081902" w:rsidP="00761366">
            <w:pPr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Межрегиональная о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б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щественная организ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а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ция «Эксперты за ц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и</w:t>
            </w: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вилизованный рынок»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02" w:rsidRPr="00081902" w:rsidRDefault="00081902" w:rsidP="00F10B2D">
            <w:pPr>
              <w:pStyle w:val="Standard"/>
              <w:numPr>
                <w:ilvl w:val="0"/>
                <w:numId w:val="50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 w:cstheme="minorBidi"/>
                <w:sz w:val="20"/>
                <w:szCs w:val="20"/>
                <w:lang w:val="ru-RU"/>
              </w:rPr>
              <w:t>считаем, что ограничений розничной продажи</w:t>
            </w:r>
            <w:r>
              <w:t xml:space="preserve"> </w:t>
            </w:r>
            <w:r w:rsidRPr="00D25E92">
              <w:rPr>
                <w:rFonts w:eastAsiaTheme="minorHAnsi" w:cstheme="minorBidi"/>
                <w:sz w:val="20"/>
                <w:szCs w:val="20"/>
                <w:lang w:val="ru-RU"/>
              </w:rPr>
              <w:t>безалкогольных тонизирующих напитков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несовершеннолетних, установленных Федеральным закон от 08.08.2024 № 304-ФЗ «О запрете продажи </w:t>
            </w:r>
            <w:r>
              <w:rPr>
                <w:sz w:val="20"/>
                <w:szCs w:val="20"/>
                <w:lang w:val="ru-RU"/>
              </w:rPr>
              <w:t>безалкогольных</w:t>
            </w:r>
            <w:r w:rsidRPr="00BD0A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тонизирующих</w:t>
            </w:r>
            <w:r w:rsidRPr="00BD0A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напитков</w:t>
            </w:r>
            <w:r w:rsidRPr="00BD0A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(в том числе энергетических) несовершеннолетним…», достаточно, регионального регулирования в части установления дополнительных ограничений и запретов продажи безалкогольных тонизирующих напитков в отношении соверш</w:t>
            </w:r>
            <w:r w:rsidR="001E264C">
              <w:rPr>
                <w:sz w:val="20"/>
                <w:szCs w:val="20"/>
                <w:lang w:val="ru-RU"/>
              </w:rPr>
              <w:t>еннолетних граждан не требуется;</w:t>
            </w:r>
            <w:proofErr w:type="gramEnd"/>
          </w:p>
          <w:p w:rsidR="00081902" w:rsidRDefault="00F10B2D" w:rsidP="00F10B2D">
            <w:pPr>
              <w:pStyle w:val="Standard"/>
              <w:numPr>
                <w:ilvl w:val="0"/>
                <w:numId w:val="50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многочисленные</w:t>
            </w:r>
            <w:r w:rsidR="00081902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российские и зарубежные научные исследования доказали, что риски </w:t>
            </w:r>
            <w:r w:rsidR="001E264C">
              <w:rPr>
                <w:rFonts w:eastAsiaTheme="minorHAnsi" w:cstheme="minorBidi"/>
                <w:sz w:val="20"/>
                <w:szCs w:val="20"/>
                <w:lang w:val="ru-RU"/>
              </w:rPr>
              <w:t>для здоровья человека от употребления безалкогольных тонизирующих напитков не превышают риски от употребления кофе, чая, шоколада. Отсутствуют научно обоснованные данные об отрицательном влиянии на здоровье напитков, содержащих кофеин;</w:t>
            </w:r>
          </w:p>
          <w:p w:rsidR="001E264C" w:rsidRDefault="00F10B2D" w:rsidP="00F10B2D">
            <w:pPr>
              <w:pStyle w:val="Standard"/>
              <w:numPr>
                <w:ilvl w:val="0"/>
                <w:numId w:val="50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о</w:t>
            </w:r>
            <w:r w:rsidR="001E264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граничение времени продажи безалкогольных </w:t>
            </w:r>
            <w:r w:rsidR="001E264C">
              <w:rPr>
                <w:rFonts w:eastAsiaTheme="minorHAnsi" w:cstheme="minorBidi"/>
                <w:sz w:val="20"/>
                <w:szCs w:val="20"/>
                <w:lang w:val="ru-RU"/>
              </w:rPr>
              <w:lastRenderedPageBreak/>
              <w:t>тонизирующих продукции ежедневно с 00 до 10 часов считаем избыточным. Считаем, что установление данного ограничения является чрезмерным с точки зрения фактического приравнивания этой товарной категории к алкогольной продукции в части регулирования ее оборота.</w:t>
            </w:r>
          </w:p>
          <w:p w:rsidR="001E264C" w:rsidRDefault="00F10B2D" w:rsidP="00F10B2D">
            <w:pPr>
              <w:pStyle w:val="Standard"/>
              <w:numPr>
                <w:ilvl w:val="0"/>
                <w:numId w:val="50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приобретение</w:t>
            </w:r>
            <w:r w:rsidR="001E264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безалкогольной т</w:t>
            </w:r>
            <w:bookmarkStart w:id="0" w:name="_GoBack"/>
            <w:bookmarkEnd w:id="0"/>
            <w:r w:rsidR="001E264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онизирующей продукции в вечернее и ночное время не приводит </w:t>
            </w:r>
            <w:proofErr w:type="gramStart"/>
            <w:r w:rsidR="001E264C">
              <w:rPr>
                <w:rFonts w:eastAsiaTheme="minorHAnsi" w:cstheme="minorBidi"/>
                <w:sz w:val="20"/>
                <w:szCs w:val="20"/>
                <w:lang w:val="ru-RU"/>
              </w:rPr>
              <w:t>к</w:t>
            </w:r>
            <w:proofErr w:type="gramEnd"/>
            <w:r w:rsidR="001E264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нарушения общественного порядка. Безалкогольная тонизирующая продукция не имеет традиций массового потребления, не вызывает каких-либо изменений сознания или поведения. Основные покупатели безалкогольных тонизирующих напитков в вечернее и ночное время – это граждане, работающие  в ночную смену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, - сотрудники аварийных спасательных служб, служб медицинской помощи, транспортных предприятий и т.д.;</w:t>
            </w:r>
          </w:p>
          <w:p w:rsidR="00F10B2D" w:rsidRDefault="00F10B2D" w:rsidP="00F10B2D">
            <w:pPr>
              <w:pStyle w:val="Standard"/>
              <w:numPr>
                <w:ilvl w:val="0"/>
                <w:numId w:val="50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торговые предприятия среднего и малого бизнеса в настоящее время испытывают сложности в связи со сложившимся экономическим положением. Результатом станут негативные экономические последствия для самих торговых объектов и для производителей, которые будут вынуждены сократить объемы производства. Соответственно можно прогнозировать сокращение поступлений акциза в бюджетную систему;</w:t>
            </w:r>
          </w:p>
          <w:p w:rsidR="00F10B2D" w:rsidRPr="00F10B2D" w:rsidRDefault="00F10B2D" w:rsidP="00F10B2D">
            <w:pPr>
              <w:pStyle w:val="Standard"/>
              <w:numPr>
                <w:ilvl w:val="0"/>
                <w:numId w:val="50"/>
              </w:numPr>
              <w:ind w:left="0" w:firstLine="0"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введение проектируемых ограничений не даст какого-либо положительного эффекта в улучшение здоровья граждан, приведёт к снижению рентабельности объектов малого и среднего предпринимательства, сокращению поступлений в бюджетную систему.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02" w:rsidRPr="00293DBC" w:rsidRDefault="00081902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F1097" w:rsidRPr="00350538" w:rsidTr="00B301ED">
        <w:trPr>
          <w:trHeight w:val="268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lastRenderedPageBreak/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293DBC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F10B2D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01A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29" w:rsidRDefault="00EF2329" w:rsidP="00A65223">
      <w:pPr>
        <w:spacing w:after="0" w:line="240" w:lineRule="auto"/>
      </w:pPr>
      <w:r>
        <w:separator/>
      </w:r>
    </w:p>
  </w:endnote>
  <w:end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29" w:rsidRDefault="00EF2329" w:rsidP="00A65223">
      <w:pPr>
        <w:spacing w:after="0" w:line="240" w:lineRule="auto"/>
      </w:pPr>
      <w:r>
        <w:separator/>
      </w:r>
    </w:p>
  </w:footnote>
  <w:foot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B1A4A"/>
    <w:multiLevelType w:val="hybridMultilevel"/>
    <w:tmpl w:val="50D68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47332"/>
    <w:multiLevelType w:val="hybridMultilevel"/>
    <w:tmpl w:val="52E22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33A6A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13B6D83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6"/>
  </w:num>
  <w:num w:numId="7">
    <w:abstractNumId w:val="8"/>
  </w:num>
  <w:num w:numId="8">
    <w:abstractNumId w:val="33"/>
  </w:num>
  <w:num w:numId="9">
    <w:abstractNumId w:val="41"/>
  </w:num>
  <w:num w:numId="10">
    <w:abstractNumId w:val="19"/>
  </w:num>
  <w:num w:numId="11">
    <w:abstractNumId w:val="32"/>
  </w:num>
  <w:num w:numId="12">
    <w:abstractNumId w:val="47"/>
  </w:num>
  <w:num w:numId="13">
    <w:abstractNumId w:val="34"/>
  </w:num>
  <w:num w:numId="14">
    <w:abstractNumId w:val="26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3"/>
  </w:num>
  <w:num w:numId="22">
    <w:abstractNumId w:val="7"/>
  </w:num>
  <w:num w:numId="23">
    <w:abstractNumId w:val="2"/>
  </w:num>
  <w:num w:numId="24">
    <w:abstractNumId w:val="18"/>
  </w:num>
  <w:num w:numId="25">
    <w:abstractNumId w:val="42"/>
  </w:num>
  <w:num w:numId="26">
    <w:abstractNumId w:val="40"/>
  </w:num>
  <w:num w:numId="27">
    <w:abstractNumId w:val="4"/>
  </w:num>
  <w:num w:numId="28">
    <w:abstractNumId w:val="1"/>
  </w:num>
  <w:num w:numId="29">
    <w:abstractNumId w:val="37"/>
  </w:num>
  <w:num w:numId="30">
    <w:abstractNumId w:val="27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4"/>
  </w:num>
  <w:num w:numId="34">
    <w:abstractNumId w:val="25"/>
  </w:num>
  <w:num w:numId="35">
    <w:abstractNumId w:val="24"/>
  </w:num>
  <w:num w:numId="36">
    <w:abstractNumId w:val="5"/>
  </w:num>
  <w:num w:numId="37">
    <w:abstractNumId w:val="0"/>
  </w:num>
  <w:num w:numId="38">
    <w:abstractNumId w:val="9"/>
  </w:num>
  <w:num w:numId="39">
    <w:abstractNumId w:val="20"/>
  </w:num>
  <w:num w:numId="40">
    <w:abstractNumId w:val="21"/>
  </w:num>
  <w:num w:numId="41">
    <w:abstractNumId w:val="31"/>
  </w:num>
  <w:num w:numId="42">
    <w:abstractNumId w:val="28"/>
  </w:num>
  <w:num w:numId="43">
    <w:abstractNumId w:val="46"/>
  </w:num>
  <w:num w:numId="44">
    <w:abstractNumId w:val="45"/>
  </w:num>
  <w:num w:numId="45">
    <w:abstractNumId w:val="38"/>
  </w:num>
  <w:num w:numId="46">
    <w:abstractNumId w:val="16"/>
  </w:num>
  <w:num w:numId="47">
    <w:abstractNumId w:val="29"/>
  </w:num>
  <w:num w:numId="48">
    <w:abstractNumId w:val="13"/>
  </w:num>
  <w:num w:numId="49">
    <w:abstractNumId w:val="3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81902"/>
    <w:rsid w:val="000C2172"/>
    <w:rsid w:val="000C3B3C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75F02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264C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93DBC"/>
    <w:rsid w:val="00297F67"/>
    <w:rsid w:val="002A4BE3"/>
    <w:rsid w:val="002A5BAE"/>
    <w:rsid w:val="002A5F41"/>
    <w:rsid w:val="002A703B"/>
    <w:rsid w:val="002B2A5A"/>
    <w:rsid w:val="002C04A4"/>
    <w:rsid w:val="002C116B"/>
    <w:rsid w:val="002D65F7"/>
    <w:rsid w:val="002D7F54"/>
    <w:rsid w:val="002E4B9F"/>
    <w:rsid w:val="002E6D6C"/>
    <w:rsid w:val="002E7420"/>
    <w:rsid w:val="002F2122"/>
    <w:rsid w:val="002F4D1F"/>
    <w:rsid w:val="00300F0E"/>
    <w:rsid w:val="00302256"/>
    <w:rsid w:val="0030451F"/>
    <w:rsid w:val="00312B1C"/>
    <w:rsid w:val="00313A66"/>
    <w:rsid w:val="00320C80"/>
    <w:rsid w:val="003213D2"/>
    <w:rsid w:val="0032413C"/>
    <w:rsid w:val="0032696B"/>
    <w:rsid w:val="00330876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1882"/>
    <w:rsid w:val="00372E48"/>
    <w:rsid w:val="0038503A"/>
    <w:rsid w:val="003874C9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41C8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11998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86CB5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544B"/>
    <w:rsid w:val="00667FC7"/>
    <w:rsid w:val="0067456F"/>
    <w:rsid w:val="006832DD"/>
    <w:rsid w:val="00684951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1366"/>
    <w:rsid w:val="00762A56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0037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086B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063C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3B9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B7EB3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A5057"/>
    <w:rsid w:val="00BB0EF0"/>
    <w:rsid w:val="00BB2C90"/>
    <w:rsid w:val="00BC0FE2"/>
    <w:rsid w:val="00BC206E"/>
    <w:rsid w:val="00BC316B"/>
    <w:rsid w:val="00BC33A8"/>
    <w:rsid w:val="00BC39B5"/>
    <w:rsid w:val="00BD0AF4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62C6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74A03"/>
    <w:rsid w:val="00C83521"/>
    <w:rsid w:val="00C85E57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E92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5647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4D27"/>
    <w:rsid w:val="00E862AE"/>
    <w:rsid w:val="00E9465E"/>
    <w:rsid w:val="00EA5BC0"/>
    <w:rsid w:val="00EB6106"/>
    <w:rsid w:val="00EB77BF"/>
    <w:rsid w:val="00EC37BA"/>
    <w:rsid w:val="00ED4C71"/>
    <w:rsid w:val="00ED5D22"/>
    <w:rsid w:val="00ED70A3"/>
    <w:rsid w:val="00EE6F13"/>
    <w:rsid w:val="00EF13BF"/>
    <w:rsid w:val="00EF2329"/>
    <w:rsid w:val="00EF5D04"/>
    <w:rsid w:val="00EF77A4"/>
    <w:rsid w:val="00F017D2"/>
    <w:rsid w:val="00F0280E"/>
    <w:rsid w:val="00F043FE"/>
    <w:rsid w:val="00F046A5"/>
    <w:rsid w:val="00F04E66"/>
    <w:rsid w:val="00F102AF"/>
    <w:rsid w:val="00F10B2D"/>
    <w:rsid w:val="00F113E1"/>
    <w:rsid w:val="00F156A9"/>
    <w:rsid w:val="00F17FFD"/>
    <w:rsid w:val="00F21BB8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147E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k.75.ru/deyatel-nost/ocenka-reguliruyuschego-vozdeystviya/ocenka-proektov/publichnye-konsul-tacii/publichnye-konsul-tacii-po-proektam-normativnyh-pravovyh-aktov/2025/392628-i-polugodie-2025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F7F5-A658-4AB7-90B3-5B118764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13</cp:revision>
  <cp:lastPrinted>2023-06-08T02:26:00Z</cp:lastPrinted>
  <dcterms:created xsi:type="dcterms:W3CDTF">2025-01-16T03:41:00Z</dcterms:created>
  <dcterms:modified xsi:type="dcterms:W3CDTF">2025-01-29T02:39:00Z</dcterms:modified>
</cp:coreProperties>
</file>