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E51DD" w:rsidRDefault="00251A4D" w:rsidP="007E51DD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</w:t>
      </w:r>
      <w:proofErr w:type="gramStart"/>
      <w:r w:rsidRPr="008426D3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E51DD">
        <w:rPr>
          <w:rFonts w:ascii="Times New Roman" w:hAnsi="Times New Roman" w:cs="Times New Roman"/>
          <w:sz w:val="24"/>
          <w:szCs w:val="24"/>
        </w:rPr>
        <w:t>Постановления</w:t>
      </w:r>
      <w:r w:rsidR="007E51DD" w:rsidRPr="007E51DD">
        <w:rPr>
          <w:rFonts w:ascii="Times New Roman" w:hAnsi="Times New Roman" w:cs="Times New Roman"/>
          <w:sz w:val="24"/>
          <w:szCs w:val="24"/>
        </w:rPr>
        <w:t xml:space="preserve"> Губернатора Забайкальского</w:t>
      </w:r>
      <w:proofErr w:type="gramEnd"/>
      <w:r w:rsidR="007E51DD" w:rsidRPr="007E51DD">
        <w:rPr>
          <w:rFonts w:ascii="Times New Roman" w:hAnsi="Times New Roman" w:cs="Times New Roman"/>
          <w:sz w:val="24"/>
          <w:szCs w:val="24"/>
        </w:rPr>
        <w:t xml:space="preserve"> края «Об установлении на 2026 год запрета на привлечение хозяйствующими субъектами, осуществляющими деятельность на территории Забайкальского края, иностранных граждан, осуществляющих трудовую деятельность на основании патентов, по отдельным видам экономической деятельности»</w:t>
      </w:r>
    </w:p>
    <w:p w:rsidR="00251A4D" w:rsidRPr="008426D3" w:rsidRDefault="00251A4D" w:rsidP="007E51DD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та:</w:t>
            </w:r>
          </w:p>
        </w:tc>
        <w:tc>
          <w:tcPr>
            <w:tcW w:w="7059" w:type="dxa"/>
          </w:tcPr>
          <w:p w:rsidR="00B30D42" w:rsidRPr="007B2186" w:rsidRDefault="007E51DD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D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Губернатора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тивного правового акта:</w:t>
            </w:r>
          </w:p>
        </w:tc>
        <w:tc>
          <w:tcPr>
            <w:tcW w:w="7059" w:type="dxa"/>
          </w:tcPr>
          <w:p w:rsidR="00B30D42" w:rsidRPr="007B2186" w:rsidRDefault="00D9175F" w:rsidP="003F0700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75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E51DD" w:rsidRPr="007E51DD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на 2026 год запрета на привлечение хозяйствующими субъектами, осуществляющими деятельность на территории Забайкальского края, иностранных граждан, осуществляющих трудовую деятельность на основании патентов, по отдельным видам экономической деятельности»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вового акта:</w:t>
            </w:r>
          </w:p>
        </w:tc>
        <w:tc>
          <w:tcPr>
            <w:tcW w:w="7059" w:type="dxa"/>
          </w:tcPr>
          <w:p w:rsidR="00B30D42" w:rsidRPr="007B2186" w:rsidRDefault="007532CE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день после дня </w:t>
            </w:r>
            <w:r w:rsidR="003F0700"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реходного период</w:t>
            </w:r>
            <w:bookmarkStart w:id="0" w:name="_GoBack"/>
            <w:bookmarkEnd w:id="0"/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 для смены или изменения правового регулиров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</w:tc>
        <w:tc>
          <w:tcPr>
            <w:tcW w:w="7059" w:type="dxa"/>
          </w:tcPr>
          <w:p w:rsidR="00B30D42" w:rsidRPr="007B2186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7B2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вание, местонахождение и контак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ный телефон):</w:t>
            </w:r>
          </w:p>
        </w:tc>
        <w:tc>
          <w:tcPr>
            <w:tcW w:w="7059" w:type="dxa"/>
          </w:tcPr>
          <w:p w:rsidR="007E51DD" w:rsidRDefault="007E51DD" w:rsidP="0008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труда и социальной защиты населения Забайкал</w:t>
            </w:r>
            <w:r w:rsidRPr="007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7E51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края</w:t>
            </w:r>
          </w:p>
          <w:p w:rsidR="007E51DD" w:rsidRPr="007E51DD" w:rsidRDefault="007E51DD" w:rsidP="007E5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7E51DD">
              <w:rPr>
                <w:rFonts w:ascii="Times New Roman" w:hAnsi="Times New Roman" w:cs="Times New Roman"/>
                <w:sz w:val="24"/>
                <w:szCs w:val="24"/>
              </w:rPr>
              <w:t>: Астраханцева Ольга Анатолье</w:t>
            </w:r>
            <w:r w:rsidRPr="007E51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51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7E51DD" w:rsidRPr="007E51DD" w:rsidRDefault="007E51DD" w:rsidP="007E5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DD">
              <w:rPr>
                <w:rFonts w:ascii="Times New Roman" w:hAnsi="Times New Roman" w:cs="Times New Roman"/>
                <w:sz w:val="24"/>
                <w:szCs w:val="24"/>
              </w:rPr>
              <w:t>Должность: консультант отдела содействия занятости населения</w:t>
            </w:r>
          </w:p>
          <w:p w:rsidR="007E51DD" w:rsidRPr="007E51DD" w:rsidRDefault="007E51DD" w:rsidP="007E5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DD">
              <w:rPr>
                <w:rFonts w:ascii="Times New Roman" w:hAnsi="Times New Roman" w:cs="Times New Roman"/>
                <w:sz w:val="24"/>
                <w:szCs w:val="24"/>
              </w:rPr>
              <w:t>Телефон: 8(3022) 35-09-51</w:t>
            </w:r>
          </w:p>
          <w:p w:rsidR="007B2186" w:rsidRPr="00325ECC" w:rsidRDefault="007E51DD" w:rsidP="007E51D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7E51D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B530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astrahanceva@depzan.e-zab.ru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го регулирования:</w:t>
            </w:r>
          </w:p>
        </w:tc>
        <w:tc>
          <w:tcPr>
            <w:tcW w:w="7059" w:type="dxa"/>
          </w:tcPr>
          <w:p w:rsidR="007B2186" w:rsidRPr="007B2186" w:rsidRDefault="007B2186" w:rsidP="007E51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80C7C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A05DC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в целях </w:t>
            </w:r>
            <w:r w:rsidR="007E51DD">
              <w:rPr>
                <w:rFonts w:ascii="Times New Roman" w:hAnsi="Times New Roman" w:cs="Times New Roman"/>
                <w:sz w:val="24"/>
                <w:szCs w:val="24"/>
              </w:rPr>
              <w:t>приоритетного трудоустройства российских граждан для защиты национального рынка труда.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A6531B" w:rsidRDefault="007E51DD" w:rsidP="00A653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E51DD">
              <w:rPr>
                <w:rFonts w:ascii="Times New Roman" w:hAnsi="Times New Roman" w:cs="Times New Roman"/>
              </w:rPr>
              <w:t>исбаланс на региональном рынке труда между спросом и предложен</w:t>
            </w:r>
            <w:r w:rsidRPr="007E51DD">
              <w:rPr>
                <w:rFonts w:ascii="Times New Roman" w:hAnsi="Times New Roman" w:cs="Times New Roman"/>
              </w:rPr>
              <w:t>и</w:t>
            </w:r>
            <w:r w:rsidRPr="007E51DD">
              <w:rPr>
                <w:rFonts w:ascii="Times New Roman" w:hAnsi="Times New Roman" w:cs="Times New Roman"/>
              </w:rPr>
              <w:t>ем рабочей силы. Данный дисбаланс оказывает отрицательное влияние на социальную обстановку, снижает качество условий труда местного населения, препятствует созданию новых рабочих мест и подрывает региональный рынок труда.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уполн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моченный орган принимает пре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7E51DD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51DD">
              <w:rPr>
                <w:rFonts w:ascii="Times New Roman" w:hAnsi="Times New Roman" w:cs="Times New Roman"/>
                <w:b/>
                <w:sz w:val="24"/>
                <w:szCs w:val="24"/>
              </w:rPr>
              <w:t>16 сентября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7E51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F0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51DD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E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мативного правового акта:</w:t>
            </w:r>
          </w:p>
        </w:tc>
        <w:tc>
          <w:tcPr>
            <w:tcW w:w="7059" w:type="dxa"/>
          </w:tcPr>
          <w:p w:rsidR="00F6306D" w:rsidRPr="007B2186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7B2186" w:rsidRDefault="007E51DD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3350" w:rsidRPr="007B21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7B21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3C" w:rsidRDefault="0091543C" w:rsidP="001B3A7E">
      <w:pPr>
        <w:spacing w:after="0" w:line="240" w:lineRule="auto"/>
      </w:pPr>
      <w:r>
        <w:separator/>
      </w:r>
    </w:p>
  </w:endnote>
  <w:end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3C" w:rsidRDefault="0091543C" w:rsidP="001B3A7E">
      <w:pPr>
        <w:spacing w:after="0" w:line="240" w:lineRule="auto"/>
      </w:pPr>
      <w:r>
        <w:separator/>
      </w:r>
    </w:p>
  </w:footnote>
  <w:foot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64EB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28B5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5ECC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0700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2CE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186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1DD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5DC3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531B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5A63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1C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17FCB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175F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4580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C7C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B42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B42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rv@economy.e-za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trahanceva@depzan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16DB-38BA-4789-A882-0CF00AD5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Сажина</cp:lastModifiedBy>
  <cp:revision>16</cp:revision>
  <cp:lastPrinted>2023-05-15T06:45:00Z</cp:lastPrinted>
  <dcterms:created xsi:type="dcterms:W3CDTF">2024-12-20T04:37:00Z</dcterms:created>
  <dcterms:modified xsi:type="dcterms:W3CDTF">2025-09-16T00:46:00Z</dcterms:modified>
</cp:coreProperties>
</file>