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СВОДНЫЙ ОТЧЕТ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проведения оценки регулирующего воздействия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нормативного правового акта Забайкальского 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1. Общая информация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Наименование исполнительного органа Забайкальского края или иного субъекта права законодательной инициативы в соответствии с </w:t>
            </w:r>
            <w:hyperlink r:id="rId14" w:tooltip="consultantplus://offline/ref=86248B9F041F8CE9AD837808439F71DFF5F3B9F720925B31BA2B37D3CA4F0B332E341153244240CF37D11D80E8F87AED05FBd5t8A" w:history="1">
              <w:r>
                <w:rPr>
                  <w:rFonts w:ascii="Times New Roman" w:hAnsi="Times New Roman" w:cs="Times New Roman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</w:rPr>
              <w:t xml:space="preserve"> Забайкальского края от 18 декабря 2009 года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 321-ЗЗК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 нормативных правовых актах Забайкальского края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</w:t>
            </w:r>
            <w:r>
              <w:rPr>
                <w:rFonts w:ascii="Times New Roman" w:hAnsi="Times New Roman" w:cs="Times New Roman"/>
              </w:rPr>
              <w:t xml:space="preserve">ы населения Забайкальского края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Минсоцзащиты Забайкальского края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Проект постановления Правительства Забайкальского края –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 внесении изменений в Порядок предоставления в 2024-2026 годах субсидии из бюджета Забайкальского края на частичное финансовое обеспечение затрат работодателя, связанных с реализацией мероприятий по организации среднего профессионального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ищущих работу граждан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  <w:t xml:space="preserve">(указывается полное и краткое наименование)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Сроки проведения публичного обсуждения проекта НПА </w:t>
            </w:r>
            <w:hyperlink w:tooltip="#P485" w:anchor="P485" w:history="1">
              <w:r>
                <w:rPr>
                  <w:rFonts w:ascii="Times New Roman" w:hAnsi="Times New Roman" w:cs="Times New Roman"/>
                  <w:color w:val="0000ff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(указывается дата начала и окончания публичного обсуждения)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Сведения о соисполнителях проекта НПА </w:t>
            </w:r>
            <w:hyperlink w:tooltip="#P486" w:anchor="P486" w:history="1">
              <w:r>
                <w:rPr>
                  <w:rFonts w:ascii="Times New Roman" w:hAnsi="Times New Roman" w:cs="Times New Roman"/>
                  <w:color w:val="0000ff"/>
                </w:rPr>
                <w:t xml:space="preserve">&lt;**&gt;</w:t>
              </w:r>
            </w:hyperlink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(указывается полное и краткое наименование)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Вид и наименование проекта НПА: </w:t>
            </w:r>
            <w:r>
              <w:rPr>
                <w:rFonts w:ascii="Times New Roman" w:hAnsi="Times New Roman" w:cs="Times New Roman"/>
              </w:rPr>
              <w:t xml:space="preserve">Постановлени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Правительства Забайкальского края –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 внесении изменений в Порядок предоставления в 2024-2026 годах субсидии из бюджета Забайкальского края на частичное финансовое обеспечение затрат работодателя, связанных с реализацией мероприятий по организации среднего профессионального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ищущих работу граждан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  <w:u w:val="single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Основание для разработки проекта НПА: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перспективн</w:t>
            </w:r>
            <w:r>
              <w:rPr>
                <w:rFonts w:ascii="Times New Roman" w:hAnsi="Times New Roman" w:cs="Times New Roman"/>
              </w:rPr>
              <w:t xml:space="preserve">ая</w:t>
            </w:r>
            <w:r>
              <w:rPr>
                <w:rFonts w:ascii="Times New Roman" w:hAnsi="Times New Roman" w:cs="Times New Roman"/>
              </w:rPr>
              <w:t xml:space="preserve"> потребность рынка труда в квалифицированных кадрах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постановление Правительства Забайкальского края от 1 августа 2014 года № 457 «Об утверждении государственной программы Забайкальского края «Содействи</w:t>
            </w:r>
            <w:r>
              <w:rPr>
                <w:rFonts w:ascii="Times New Roman" w:hAnsi="Times New Roman" w:cs="Times New Roman"/>
                <w:b w:val="0"/>
              </w:rPr>
              <w:t xml:space="preserve">я</w:t>
            </w:r>
            <w:r>
              <w:rPr>
                <w:rFonts w:ascii="Times New Roman" w:hAnsi="Times New Roman" w:cs="Times New Roman"/>
                <w:b w:val="0"/>
              </w:rPr>
              <w:t xml:space="preserve"> занятости населения»</w:t>
            </w:r>
            <w:r>
              <w:rPr>
                <w:rFonts w:ascii="Times New Roman" w:hAnsi="Times New Roman" w:cs="Times New Roman"/>
                <w:b w:val="0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_________</w:t>
            </w:r>
            <w:r>
              <w:rPr>
                <w:rFonts w:ascii="Times New Roman" w:hAnsi="Times New Roman" w:cs="Times New Roman"/>
              </w:rPr>
              <w:t xml:space="preserve">_______________________________________________</w:t>
            </w:r>
            <w:r>
              <w:rPr>
                <w:rFonts w:ascii="Times New Roman" w:hAnsi="Times New Roman" w:cs="Times New Roman"/>
              </w:rPr>
              <w:t xml:space="preserve">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1.7. Краткое описание целей предлагаемого </w:t>
            </w:r>
            <w:r>
              <w:rPr>
                <w:rFonts w:ascii="Times New Roman" w:hAnsi="Times New Roman" w:cs="Times New Roman"/>
              </w:rPr>
              <w:t xml:space="preserve">регулирования: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развити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трудового потенциала предприятий, путем содействия работодателям в подборе необходимых работников посредством обучения 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граждан, имеющих основное общее, среднее общее образование или имеющих профессиональное образование, обратившихся в органы службы занятости Забайкальского края; п</w:t>
            </w:r>
            <w:r>
              <w:rPr>
                <w:rFonts w:ascii="Times New Roman" w:hAnsi="Times New Roman" w:cs="Times New Roman"/>
              </w:rPr>
              <w:t xml:space="preserve">овышени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обеспеченности Забайкальского края квалифицированными трудовыми ресурсами; содействие работодателям и привлечении кадров и в их обучении. С целью приведения в соответствие 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  <w:t xml:space="preserve">технических возможностей осуществления отдельн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  <w:t xml:space="preserve">ых функций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информационной государственной интегрированной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системе управления общественными финансами «Электронный бюджет» с постановлением Правительства Забайкальского края от 13.09.2024 № 460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</w:t>
            </w:r>
            <w:r>
              <w:rPr>
                <w:rFonts w:ascii="Times New Roman" w:hAnsi="Times New Roman" w:cs="Times New Roman"/>
                <w:b/>
              </w:rPr>
              <w:t xml:space="preserve">_________________</w:t>
            </w:r>
            <w:r>
              <w:rPr>
                <w:rFonts w:ascii="Times New Roman" w:hAnsi="Times New Roman" w:cs="Times New Roman"/>
                <w:b/>
              </w:rPr>
              <w:t xml:space="preserve">__</w:t>
            </w:r>
            <w:r>
              <w:rPr>
                <w:rFonts w:ascii="Times New Roman" w:hAnsi="Times New Roman" w:cs="Times New Roman"/>
                <w:b/>
              </w:rPr>
              <w:t xml:space="preserve">_________</w:t>
            </w:r>
            <w:r>
              <w:rPr>
                <w:rFonts w:ascii="Times New Roman" w:hAnsi="Times New Roman" w:cs="Times New Roman"/>
                <w:b/>
              </w:rPr>
              <w:t xml:space="preserve">_______</w:t>
            </w:r>
            <w:r>
              <w:rPr>
                <w:rFonts w:ascii="Times New Roman" w:hAnsi="Times New Roman" w:cs="Times New Roman"/>
                <w:b/>
              </w:rPr>
              <w:t xml:space="preserve">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5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3"/>
              <w:contextualSpacing/>
              <w:jc w:val="both"/>
              <w:keepLines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8. Краткое описание предлагаемого </w:t>
            </w:r>
            <w:r>
              <w:rPr>
                <w:rFonts w:ascii="Times New Roman" w:hAnsi="Times New Roman" w:eastAsia="Times New Roman" w:cs="Times New Roman"/>
              </w:rPr>
              <w:t xml:space="preserve">регули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рования: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утвердить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изменения 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Поряд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предоставлени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в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-2026 годах субсидии из бюджета Забайкальского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края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частичное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финансовое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затрат работодателя, связанных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реализацией мероприятий 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рганизации среднего профессионального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ищущих работу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дан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contextualSpacing/>
              <w:jc w:val="both"/>
              <w:keepLines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cs="Times New Roman"/>
              </w:rPr>
              <w:t xml:space="preserve">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30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1.9. Контактная информация о разработчике: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</w:t>
            </w:r>
            <w:r>
              <w:rPr>
                <w:rFonts w:ascii="Times New Roman" w:hAnsi="Times New Roman" w:cs="Times New Roman"/>
              </w:rPr>
              <w:t xml:space="preserve">: Тургина Александра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Должность: </w:t>
            </w:r>
            <w:r>
              <w:rPr>
                <w:rFonts w:ascii="Times New Roman" w:hAnsi="Times New Roman" w:cs="Times New Roman"/>
              </w:rPr>
              <w:t xml:space="preserve">Консультант отдела содействия занятости населения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35-09-5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</w:rPr>
              <w:t xml:space="preserve">turgina</w:t>
            </w:r>
            <w:hyperlink r:id="rId15" w:tooltip="mailto:andreeva@depzan.e-zab.ru" w:history="1">
              <w:r>
                <w:rPr>
                  <w:rFonts w:ascii="Times New Roman" w:hAnsi="Times New Roman" w:cs="Times New Roman" w:eastAsiaTheme="minorEastAsia"/>
                  <w:lang w:eastAsia="ru-RU"/>
                </w:rPr>
                <w:t xml:space="preserve">@depzan.e-zab.ru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 Предполагаемая степень регулирующего воздействия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НПА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>
        <w:tblPrEx/>
        <w:trPr/>
        <w:tc>
          <w:tcPr>
            <w:tcW w:w="4648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Степень регулирующего воздействия проекта нормативного правового 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высокая/средняя/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низкая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Обоснование отнесения проекта нормативного правового акта к определенной степени регулирующего воздействия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  <w:u w:val="single"/>
              </w:rPr>
              <w:t xml:space="preserve">НПА Забайкальского края в соответствии с федеральным законодательством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3. Детальное описание проблемы, на решение которой направлен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предлагаемый способ регулирования, оценка негативных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эффектов, возникающих в связи с наличием рассматриваемой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Описание проблемы, на решение которой направлен предлагаемый способ регулирования, условий и факторов ее существования: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приведение НПА края в соответствие с федеральным законодательством</w:t>
            </w:r>
            <w:r>
              <w:rPr>
                <w:rFonts w:ascii="Times New Roman" w:hAnsi="Times New Roman" w:cs="Times New Roman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</w:t>
            </w:r>
            <w:r>
              <w:rPr>
                <w:rFonts w:ascii="Times New Roman" w:hAnsi="Times New Roman" w:cs="Times New Roman"/>
              </w:rPr>
              <w:t xml:space="preserve">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Негативные эффекты, возникающие в связи с наличием проблемы:</w:t>
            </w:r>
            <w:r>
              <w:rPr>
                <w:rFonts w:ascii="Times New Roman" w:hAnsi="Times New Roman" w:cs="Times New Roman"/>
              </w:rPr>
              <w:t xml:space="preserve"> отсутствуют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contextualSpacing/>
              <w:jc w:val="left"/>
              <w:spacing w:before="0" w:line="226" w:lineRule="exact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3. Перечень действующих нормативных правовых актов (их положений), устанавливающих правовое регулирование: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903"/>
              <w:contextualSpacing/>
              <w:jc w:val="left"/>
              <w:spacing w:before="0" w:line="226" w:lineRule="exac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Постановление Правительства Забайкальского края от 13 сентября 2024 года № 460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 утверждении Порядка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предоставлени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в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-2026 годах субсидии из бюджета Забайкальского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края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частичное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финансовое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затрат работодателя, связанных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реализацией мероприятий 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рганизации среднего профессионального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ищущих работу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дан»;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contextualSpacing/>
              <w:jc w:val="left"/>
              <w:spacing w:before="0" w:line="226" w:lineRule="exac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постановление Правительства Забайкальского края от 1 августа 2014 года № 457 «Об утверждении государственной про</w:t>
            </w:r>
            <w:r>
              <w:rPr>
                <w:rFonts w:ascii="Times New Roman" w:hAnsi="Times New Roman" w:cs="Times New Roman"/>
              </w:rPr>
              <w:t xml:space="preserve">граммы Забайкальского края «Содействия занятости населения»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pStyle w:val="907"/>
              <w:contextualSpacing/>
              <w:jc w:val="left"/>
              <w:spacing w:before="0" w:line="226" w:lineRule="exact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25 октября 2023 года № 1782 «Об утверждении общих</w:t>
            </w:r>
            <w:r>
              <w:rPr>
                <w:rFonts w:ascii="Times New Roman" w:hAnsi="Times New Roman" w:eastAsia="Times New Roman" w:cs="Times New Roman"/>
              </w:rPr>
              <w:t xml:space="preserve"> требований к нормативным правовым актам, муниципальным</w:t>
            </w:r>
            <w:r>
              <w:rPr>
                <w:rFonts w:ascii="Times New Roman" w:hAnsi="Times New Roman" w:cs="Times New Roman"/>
              </w:rPr>
              <w:t xml:space="preserve"> правовым актам, регулирующим предоставление из бюджетов субъектов Российск</w:t>
            </w:r>
            <w:r>
              <w:rPr>
                <w:rFonts w:ascii="Times New Roman" w:hAnsi="Times New Roman" w:cs="Times New Roman"/>
              </w:rPr>
              <w:t xml:space="preserve">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</w:t>
            </w:r>
            <w:r>
              <w:rPr>
                <w:rFonts w:ascii="Times New Roman" w:hAnsi="Times New Roman" w:cs="Times New Roman"/>
              </w:rPr>
              <w:t xml:space="preserve">сле грантов в </w:t>
            </w:r>
            <w:r>
              <w:rPr>
                <w:rFonts w:ascii="Times New Roman" w:hAnsi="Times New Roman" w:cs="Times New Roman"/>
              </w:rPr>
              <w:t xml:space="preserve">форме субсидий;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contextualSpacing/>
              <w:jc w:val="left"/>
              <w:spacing w:before="0" w:line="226" w:lineRule="exact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</w:rPr>
              <w:t xml:space="preserve">Федеральный закон «О </w:t>
            </w:r>
            <w:r>
              <w:rPr>
                <w:rFonts w:ascii="Times New Roman" w:hAnsi="Times New Roman" w:cs="Times New Roman"/>
              </w:rPr>
              <w:t xml:space="preserve">занятости населения в Российской Федерации» </w:t>
            </w:r>
            <w:r>
              <w:rPr>
                <w:rFonts w:ascii="Times New Roman" w:hAnsi="Times New Roman" w:cs="Times New Roman"/>
              </w:rPr>
              <w:t xml:space="preserve">12 декабря 2023 года № 565-ФЗ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(далее – Федеральный</w:t>
            </w:r>
            <w:r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</w:rPr>
              <w:t xml:space="preserve">акон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</w:rPr>
              <w:t xml:space="preserve">____</w:t>
            </w:r>
            <w:r>
              <w:rPr>
                <w:rFonts w:ascii="Times New Roman" w:hAnsi="Times New Roman" w:cs="Times New Roman"/>
              </w:rPr>
              <w:t xml:space="preserve">__________</w:t>
            </w: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7"/>
              <w:contextualSpacing/>
              <w:jc w:val="center"/>
              <w:spacing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 Описание условий, при которых проблема может быть решена в целом без вмешательства со стороны государства: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приведение в соответствие с действующим законодательством Российской Федерации.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 Источники данных: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анализ законодательства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3.6. Количественные характеристики и иная информация о проблеме:</w:t>
            </w:r>
            <w:r>
              <w:rPr>
                <w:rFonts w:ascii="Times New Roman" w:hAnsi="Times New Roman" w:cs="Times New Roman"/>
              </w:rPr>
              <w:t xml:space="preserve"> 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4. Анализ опыта субъектов Российской Федерации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соответствующих сферах деятельности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Опыт субъектов Российской Федерации в соответствующих сферах деятельности: 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Источники данных: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www.pravo.gov.ru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5. Цели предлагаемого регулирования и их соответствие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принципам правового регулирования, программным документам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Правительства Российской Федерации, Правительства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30"/>
        <w:gridCol w:w="2127"/>
        <w:gridCol w:w="2738"/>
      </w:tblGrid>
      <w:tr>
        <w:tblPrEx/>
        <w:trPr>
          <w:trHeight w:val="1176"/>
        </w:trPr>
        <w:tc>
          <w:tcPr>
            <w:tcW w:w="4030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Цели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Установленные сроки достижения целей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38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Ключевые показатели достижения целей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3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(Цель 1) </w:t>
            </w:r>
            <w:r>
              <w:rPr>
                <w:rFonts w:ascii="Times New Roman" w:hAnsi="Times New Roman" w:cs="Times New Roman"/>
              </w:rPr>
              <w:t xml:space="preserve">Содействие социально-экономическому развитию Забайкальского края в части </w:t>
            </w:r>
            <w:r>
              <w:rPr>
                <w:rFonts w:ascii="Times New Roman" w:hAnsi="Times New Roman" w:cs="Times New Roman"/>
              </w:rPr>
              <w:t xml:space="preserve">снижения напряженности на рынке труда Забайкальского края </w:t>
            </w:r>
            <w:r>
              <w:rPr>
                <w:rFonts w:ascii="Times New Roman" w:hAnsi="Times New Roman" w:cs="Times New Roman"/>
              </w:rPr>
              <w:t xml:space="preserve">в рамках </w:t>
            </w:r>
            <w:r>
              <w:rPr>
                <w:rFonts w:ascii="Times New Roman" w:hAnsi="Times New Roman" w:cs="Times New Roman"/>
              </w:rPr>
              <w:t xml:space="preserve">государственной программы Забайкальского края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Содействие занятости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следующего внесения изменений в действующее законодательство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38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914"/>
                <w:rFonts w:eastAsiaTheme="minorHAnsi"/>
                <w:sz w:val="22"/>
                <w:szCs w:val="22"/>
              </w:rPr>
              <w:t xml:space="preserve">За период с 2024 по 2026 годы 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получат диплом о среднем профессиональном образовании 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ищущие работу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 граждан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е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, обративши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е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ся в органы службы занятости Забайкальского края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03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(Цель 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Приведение в соответствие 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  <w:t xml:space="preserve">технических возможностей осуществления отдельн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  <w:t xml:space="preserve">ых функций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информационной государственной интегрированной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системе управления общественными финансами «Электронный бюджет» с постановлением Правительства Забайкальского края от 13.09.2024 № 460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следующего внесения изменений в действующее законодательство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38" w:type="dxa"/>
            <w:textDirection w:val="lrTb"/>
            <w:noWrap w:val="false"/>
          </w:tcPr>
          <w:p>
            <w:pPr>
              <w:pStyle w:val="9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За период с 2024 по 2026 годы 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получат диплом о среднем профессиональном образовании 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ищущие работу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 граждан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е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, обративши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е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ся в органы службы занятости Забайкальского края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8894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bCs/>
              </w:rPr>
              <w:t xml:space="preserve">ая</w:t>
            </w:r>
            <w:r>
              <w:rPr>
                <w:rFonts w:ascii="Times New Roman" w:hAnsi="Times New Roman" w:cs="Times New Roman"/>
                <w:bCs/>
              </w:rPr>
              <w:t xml:space="preserve"> программ</w:t>
            </w:r>
            <w:r>
              <w:rPr>
                <w:rFonts w:ascii="Times New Roman" w:hAnsi="Times New Roman" w:cs="Times New Roman"/>
                <w:bCs/>
              </w:rPr>
              <w:t xml:space="preserve">а</w:t>
            </w:r>
            <w:r>
              <w:rPr>
                <w:rFonts w:ascii="Times New Roman" w:hAnsi="Times New Roman" w:cs="Times New Roman"/>
                <w:bCs/>
              </w:rPr>
              <w:t xml:space="preserve"> Забайкальского края «Содействие занятости населения»,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утвержденн</w:t>
            </w:r>
            <w:r>
              <w:rPr>
                <w:rFonts w:ascii="Times New Roman" w:hAnsi="Times New Roman" w:cs="Times New Roman"/>
                <w:bCs/>
              </w:rPr>
              <w:t xml:space="preserve">ая</w:t>
            </w:r>
            <w:r>
              <w:rPr>
                <w:rFonts w:ascii="Times New Roman" w:hAnsi="Times New Roman" w:cs="Times New Roman"/>
                <w:bCs/>
              </w:rPr>
              <w:t xml:space="preserve"> постановлением Правительства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Забайкальского края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от 1 августа 2014 года №</w:t>
            </w:r>
            <w:r>
              <w:rPr>
                <w:rFonts w:ascii="Times New Roman" w:hAnsi="Times New Roman" w:cs="Times New Roman"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Cs/>
              </w:rPr>
              <w:t xml:space="preserve">457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постановление Правительства Забайкальского края от 13 сентября 2024 года № 460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 утверждении Порядка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предоставлени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в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-2026 годах субсидии из бюджета Забайкальского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края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частичное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финансовое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затрат работодателя, связанных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реализацией мероприятий 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рганизации среднего профессионального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ищущих работу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дан»;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____</w:t>
            </w:r>
            <w:r>
              <w:rPr>
                <w:rFonts w:ascii="Times New Roman" w:hAnsi="Times New Roman" w:cs="Times New Roman"/>
              </w:rPr>
              <w:t xml:space="preserve">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8894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5.5. Источники информации для расчета ключевых показателей достижения целей предлагаемого правового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</w:t>
            </w:r>
            <w:r>
              <w:rPr>
                <w:rFonts w:ascii="Times New Roman" w:hAnsi="Times New Roman" w:cs="Times New Roman"/>
              </w:rPr>
              <w:t xml:space="preserve">«О</w:t>
            </w:r>
            <w:r>
              <w:rPr>
                <w:rFonts w:ascii="Times New Roman" w:hAnsi="Times New Roman" w:cs="Times New Roman"/>
              </w:rPr>
              <w:t xml:space="preserve"> бюджете Забайкальского края на 2024 год и плановый период 2025 и 2026 годов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от 27.12.2023г. № 2303-ЗЗК. ____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6. Описание содержания предлагаемого правового регулирования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альтернативных вариантов решения 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6.1. Описание предлагаемого способа решения проблемы и преодоления связанных с ней негативных эффектов: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  <w:r>
              <w:rPr>
                <w:rFonts w:ascii="Times New Roman" w:hAnsi="Times New Roman" w:cs="Times New Roman"/>
              </w:rPr>
              <w:t xml:space="preserve"> отсутствую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 Обоснование выбора предлагаемого способа решения проблемы: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принятие Постановления Правительства Забайк</w:t>
            </w:r>
            <w:r>
              <w:rPr>
                <w:rFonts w:ascii="Times New Roman" w:hAnsi="Times New Roman" w:cs="Times New Roman"/>
              </w:rPr>
              <w:t xml:space="preserve">альского края. 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/>
      <w:bookmarkStart w:id="0" w:name="P375"/>
      <w:r/>
      <w:bookmarkEnd w:id="0"/>
      <w:r>
        <w:rPr>
          <w:rFonts w:ascii="Times New Roman" w:hAnsi="Times New Roman" w:cs="Times New Roman"/>
        </w:rPr>
        <w:t xml:space="preserve">7. Основные группы субъектов предпринимательской и иной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экономической деятельности, иные заинтересованные лица,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интересы которых будут затронуты предлагаемым правовым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регулированием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</w:t>
            </w:r>
            <w:r>
              <w:rPr>
                <w:rFonts w:ascii="Times New Roman" w:hAnsi="Times New Roman" w:cs="Times New Roman"/>
              </w:rPr>
              <w:t xml:space="preserve">. Группа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юридические лица (за исключением государственных (муниципальных) учреждений), индивидуальные предприниматели, имеющи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право на </w:t>
            </w:r>
            <w:r>
              <w:rPr>
                <w:rFonts w:ascii="Times New Roman" w:hAnsi="Times New Roman" w:cs="Times New Roman"/>
              </w:rPr>
              <w:t xml:space="preserve">получение субсидий из бюджета Забайкальского края на </w:t>
            </w:r>
            <w:r>
              <w:rPr>
                <w:rFonts w:ascii="Times New Roman" w:hAnsi="Times New Roman" w:cs="Times New Roman"/>
              </w:rPr>
              <w:t xml:space="preserve">частичное финансовое обеспечение затрат на реализацию мероприятий по организации среднего профессионального образования граждан, </w:t>
            </w:r>
            <w:r>
              <w:rPr>
                <w:rStyle w:val="914"/>
                <w:rFonts w:eastAsia="Calibri"/>
                <w:sz w:val="22"/>
                <w:szCs w:val="22"/>
              </w:rPr>
              <w:t xml:space="preserve">имеющих основное общее образование, среднее общее образование или имеющих профессиональное образование, не состоящих в трудовых отношениях, обратившихся в органы службы занятости Забайкальского края, </w:t>
            </w:r>
            <w:r>
              <w:rPr>
                <w:rFonts w:ascii="Times New Roman" w:hAnsi="Times New Roman" w:cs="Times New Roman"/>
              </w:rPr>
              <w:t xml:space="preserve">в целях</w:t>
            </w:r>
            <w:r>
              <w:rPr>
                <w:rStyle w:val="914"/>
                <w:rFonts w:eastAsia="Calibri"/>
                <w:sz w:val="22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 xml:space="preserve">овышения обеспеченности Забайкальского края квалифицированными трудовыми ресурсами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(описание группы субъектов предпринимательской и иной экономической деятельности, при возможности с указанием</w:t>
            </w:r>
            <w:r>
              <w:rPr>
                <w:rFonts w:ascii="Times New Roman" w:hAnsi="Times New Roman" w:cs="Times New Roman"/>
              </w:rPr>
              <w:t xml:space="preserve"> наименований, электронных адресов)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7.2. Оценка количества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остижение численности участников мероприятий по снижению напряженности на рынке труда Забайкальского края в соответствии с заключенным Соглашением.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7.3. Описание иных групп участников отношений: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(описание иных групп заинтересованных лиц)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46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 Источники данных: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Сведения о субсидиях размещаются на едином портале бюджетной </w:t>
            </w:r>
            <w:r>
              <w:rPr>
                <w:rFonts w:ascii="Times New Roman" w:hAnsi="Times New Roman" w:cs="Times New Roman"/>
              </w:rPr>
              <w:t xml:space="preserve">системы Российской Федерации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8. Оценка соответствующих расходов бюджета Забайкальского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>
        <w:tblPrEx/>
        <w:trPr/>
        <w:tc>
          <w:tcPr>
            <w:tcW w:w="3022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Наименование новой или изменяемой функции, полномочия, обязанности или права, вводимых предлагаемым регулированием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Описание видов расходов бюджета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8.3. Количественная оценка расходов и возможных поступлений,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участника регулирования: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юридические лица (за исключением государственных (муниципальных) учреждений), индивидуальные предприниматели, имеющи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право на </w:t>
            </w:r>
            <w:r>
              <w:rPr>
                <w:rFonts w:ascii="Times New Roman" w:hAnsi="Times New Roman" w:cs="Times New Roman"/>
              </w:rPr>
              <w:t xml:space="preserve">получение субсидий из бюджета Забайкальского края на частичное финансовое обеспечение затрат на реализацию мероприятий по организации среднего профессионального образования граждан, </w:t>
            </w:r>
            <w:r>
              <w:rPr>
                <w:rStyle w:val="914"/>
                <w:rFonts w:eastAsia="Calibri"/>
                <w:sz w:val="22"/>
                <w:szCs w:val="22"/>
              </w:rPr>
              <w:t xml:space="preserve">обратившихся в органы службы занятости Забайкальского края, </w:t>
            </w:r>
            <w:r>
              <w:rPr>
                <w:rFonts w:ascii="Times New Roman" w:hAnsi="Times New Roman" w:cs="Times New Roman"/>
              </w:rPr>
              <w:t xml:space="preserve">в целях</w:t>
            </w:r>
            <w:r>
              <w:rPr>
                <w:rStyle w:val="914"/>
                <w:rFonts w:eastAsia="Calibri"/>
                <w:sz w:val="22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 xml:space="preserve">овышения обеспеченности Забайкальского края квалифицированными трудовыми ресурсами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функции (полномочия, обязанности или права)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Единовременные расходы в __ (год возникновения):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24"/>
        </w:trPr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Периодические расходы за период __ гг.: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Возможные поступления за период __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единовременные расходы: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периодические расходы за период ___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возможные поступления за период __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8.4. Иные сведения о расходах (возможных поступлениях) бюджета Забайкальского края: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году запланировано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Style w:val="914"/>
                <w:rFonts w:eastAsiaTheme="minorHAnsi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общего числа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граждан, получивших среднее профессиональное образование,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</w:rPr>
              <w:t xml:space="preserve">значение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</w:rPr>
              <w:t xml:space="preserve"> от 150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</w:rPr>
              <w:t xml:space="preserve"> человек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,</w:t>
            </w:r>
            <w:r>
              <w:rPr>
                <w:rStyle w:val="914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общим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финансирования </w:t>
            </w: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в 2024 году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10 00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</w:rPr>
              <w:t xml:space="preserve">0,0 тыс. рублей, в 2025 году – 9 557,3 тыс. рублей, в 2026 году – 9 400,6 тыс. рублей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(ср</w:t>
            </w:r>
            <w:r>
              <w:rPr>
                <w:rFonts w:ascii="Times New Roman" w:hAnsi="Times New Roman" w:cs="Times New Roman"/>
              </w:rPr>
              <w:t xml:space="preserve">едства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краевого бюджета)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</w:t>
            </w:r>
            <w:r>
              <w:rPr>
                <w:rFonts w:ascii="Times New Roman" w:hAnsi="Times New Roman" w:cs="Times New Roman"/>
              </w:rPr>
              <w:t xml:space="preserve">________________________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8.5. Источники данных:</w:t>
            </w:r>
            <w: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Устное распоряжение Губернатора Забайкальского края</w:t>
            </w:r>
            <w:r>
              <w:rPr>
                <w:rFonts w:ascii="Times New Roman" w:hAnsi="Times New Roman" w:eastAsia="Times New Roman" w:cs="Times New Roman"/>
                <w:b w:val="0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</w:rPr>
            </w:r>
            <w:r>
              <w:rPr>
                <w:rFonts w:ascii="Times New Roman" w:hAnsi="Times New Roman" w:eastAsia="Times New Roman" w:cs="Times New Roman"/>
                <w:b w:val="0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«О бюджете Забайкальского края на 2024 год и плановый период 2025 и 2026 годов» от 27.12.2023г. № 2303-ЗЗК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9. Новые обязанности, ответственность или ограничения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субъектов предпринимательской и иной экономической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либо изменение содержания существующих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ответственности и ограничений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109"/>
        <w:gridCol w:w="2409"/>
        <w:gridCol w:w="2608"/>
      </w:tblGrid>
      <w:tr>
        <w:tblPrEx/>
        <w:trPr/>
        <w:tc>
          <w:tcPr>
            <w:tcW w:w="4109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Описание новых обязанностей, ответственности 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9.3. Описание отменяемых обязанностей, ответственности, запретов или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109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юридические лица (за исключением государственных (муниципальных) учреждений), индивидуальные предприниматели</w:t>
            </w:r>
            <w:r>
              <w:rPr>
                <w:rFonts w:ascii="Times New Roman" w:hAnsi="Times New Roman" w:cs="Times New Roman"/>
                <w:bCs/>
              </w:rPr>
              <w:t xml:space="preserve">, соответствующие на дату представления документов на получение субсидий требованиям</w:t>
            </w:r>
            <w:r>
              <w:rPr>
                <w:rFonts w:ascii="Times New Roman" w:hAnsi="Times New Roman" w:cs="Times New Roman"/>
                <w:bCs/>
              </w:rPr>
              <w:t xml:space="preserve"> указанным в Порядк</w:t>
            </w:r>
            <w:r>
              <w:rPr>
                <w:rFonts w:ascii="Times New Roman" w:hAnsi="Times New Roman" w:cs="Times New Roman"/>
                <w:bCs/>
              </w:rPr>
              <w:t xml:space="preserve">е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описания, сведения из </w:t>
            </w:r>
            <w:hyperlink w:tooltip="#P375" w:anchor="P375" w:history="1">
              <w:r>
                <w:rPr>
                  <w:rFonts w:ascii="Times New Roman" w:hAnsi="Times New Roman" w:cs="Times New Roman"/>
                </w:rPr>
                <w:t xml:space="preserve">раздела 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Сводного отчета)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10. Оценка расходов и доходов субъектов предпринимательской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иной экономической деятельности, связанных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необходимостью соблюдения установленных обязанностей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ответственности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889"/>
        <w:gridCol w:w="2693"/>
        <w:gridCol w:w="2551"/>
      </w:tblGrid>
      <w:tr>
        <w:tblPrEx/>
        <w:trPr/>
        <w:tc>
          <w:tcPr>
            <w:tcW w:w="3889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Описание новых или изменения содержания существующих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обязанностей, ограничений и ответственности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10.3. Описание и оценка видов расходов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889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юридические лица (за исключением государственных (муниципальных) учреждений), индивидуальные предприниматели</w:t>
            </w:r>
            <w:r>
              <w:rPr>
                <w:rFonts w:ascii="Times New Roman" w:hAnsi="Times New Roman" w:cs="Times New Roman"/>
                <w:bCs/>
              </w:rPr>
              <w:t xml:space="preserve">, соответствующие на дату представления документов на получение субсидий требованиям</w:t>
            </w:r>
            <w:r>
              <w:rPr>
                <w:rFonts w:ascii="Times New Roman" w:hAnsi="Times New Roman" w:cs="Times New Roman"/>
                <w:bCs/>
              </w:rPr>
              <w:t xml:space="preserve"> указанным в Порядке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 xml:space="preserve">__________________</w:t>
            </w:r>
            <w:r>
              <w:rPr>
                <w:rFonts w:ascii="Times New Roman" w:hAnsi="Times New Roman" w:cs="Times New Roman"/>
                <w:u w:val="none"/>
              </w:rPr>
              <w:t xml:space="preserve">_____</w:t>
            </w:r>
            <w:r>
              <w:rPr>
                <w:rFonts w:ascii="Times New Roman" w:hAnsi="Times New Roman" w:cs="Times New Roman"/>
                <w:u w:val="none"/>
              </w:rPr>
            </w:r>
            <w:r>
              <w:rPr>
                <w:rFonts w:ascii="Times New Roman" w:hAnsi="Times New Roman" w:cs="Times New Roman"/>
                <w:u w:val="none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описания, сведения из </w:t>
            </w:r>
            <w:hyperlink w:tooltip="#P375" w:anchor="P375" w:history="1">
              <w:r>
                <w:rPr>
                  <w:rFonts w:ascii="Times New Roman" w:hAnsi="Times New Roman" w:cs="Times New Roman"/>
                </w:rPr>
                <w:t xml:space="preserve">раздела 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Сводного отчета)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нет</w:t>
            </w:r>
            <w:r>
              <w:rPr>
                <w:rFonts w:ascii="Times New Roman" w:hAnsi="Times New Roman" w:cs="Times New Roman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Дополнительных расходов не требуется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133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10.4. Источники данных:</w:t>
            </w:r>
            <w:r>
              <w:rPr>
                <w:rFonts w:ascii="Times New Roman" w:hAnsi="Times New Roman" w:cs="Times New Roman"/>
              </w:rPr>
              <w:t xml:space="preserve"> отсутствую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 ______</w:t>
            </w:r>
            <w:r>
              <w:rPr>
                <w:rFonts w:ascii="Times New Roman" w:hAnsi="Times New Roman" w:cs="Times New Roman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11. Риски решения проблемы предложенным способом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регулирования и риски негативных последствий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11.1. 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 Оценка вероятности наступления рисков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нет</w:t>
            </w:r>
            <w:r>
              <w:rPr>
                <w:rFonts w:ascii="Times New Roman" w:hAnsi="Times New Roman" w:cs="Times New Roman"/>
              </w:rPr>
              <w:t xml:space="preserve">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нет</w:t>
            </w:r>
            <w:r>
              <w:rPr>
                <w:rFonts w:ascii="Times New Roman" w:hAnsi="Times New Roman" w:cs="Times New Roman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11.3. Источники данных: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  <w:t xml:space="preserve"> ___</w:t>
            </w:r>
            <w:r>
              <w:rPr>
                <w:rFonts w:ascii="Times New Roman" w:hAnsi="Times New Roman" w:cs="Times New Roman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12. Предполагаемая дата вступления в силу проекта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нормативного правового акта, необходимость установления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переходных положений (переходного периода)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12.1. Предполагаемая дата вступления в силу проекта нормативного правового акта: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12.2. Необходимость установления переходных положений (переходного периода):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  <w:u w:val="single"/>
              </w:rPr>
              <w:t xml:space="preserve">нет</w:t>
            </w:r>
            <w:r>
              <w:rPr>
                <w:rFonts w:ascii="Times New Roman" w:hAnsi="Times New Roman" w:cs="Times New Roman"/>
                <w:u w:val="none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Да/Нет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12.3. Срок (если есть необходимость)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(дней с момента принятия нормативного правового акта)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13. Иные сведения (при наличии информации):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</w:t>
            </w:r>
            <w:r>
              <w:rPr>
                <w:rFonts w:ascii="Times New Roman" w:hAnsi="Times New Roman" w:cs="Times New Roman"/>
                <w:u w:val="single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  <w:t xml:space="preserve">__________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(место для текстового описания)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2" w:name="P485"/>
      <w:r/>
      <w:bookmarkEnd w:id="2"/>
      <w:r>
        <w:rPr>
          <w:rFonts w:ascii="Times New Roman" w:hAnsi="Times New Roman" w:cs="Times New Roman"/>
        </w:rPr>
        <w:t xml:space="preserve">&lt;*&gt; Указываются в случае проведения разработчиком публичных обсуждений проекта НПА.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3" w:name="P486"/>
      <w:r/>
      <w:bookmarkEnd w:id="3"/>
      <w:r>
        <w:rPr>
          <w:rFonts w:ascii="Times New Roman" w:hAnsi="Times New Roman" w:cs="Times New Roman"/>
        </w:rPr>
        <w:t xml:space="preserve">&lt;**&gt; Указываются при наличии.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4" w:name="P487"/>
      <w:r/>
      <w:bookmarkEnd w:id="4"/>
      <w:r>
        <w:rPr>
          <w:rFonts w:ascii="Times New Roman" w:hAnsi="Times New Roman" w:cs="Times New Roman"/>
        </w:rPr>
        <w:t xml:space="preserve">&lt;***&gt; Указывается в соответствии с </w:t>
      </w:r>
      <w:hyperlink r:id="rId16" w:tooltip="consultantplus://offline/ref=86248B9F041F8CE9AD837808439F71DFF5F3B9F720925835B02F3DD3CA4F0B332E341153245040973BD31D9EEBFF6FBB54BD0EB7B63A1FE086C404905FdFt1A" w:history="1">
        <w:r>
          <w:rPr>
            <w:rFonts w:ascii="Times New Roman" w:hAnsi="Times New Roman" w:cs="Times New Roman"/>
          </w:rPr>
          <w:t xml:space="preserve">пунктом 10</w:t>
        </w:r>
      </w:hyperlink>
      <w:r>
        <w:rPr>
          <w:rFonts w:ascii="Times New Roman" w:hAnsi="Times New Roman" w:cs="Times New Roman"/>
        </w:rPr>
        <w:t xml:space="preserve"> Порядка проведения оценки регулирующего воздействия проектов нормативных правовых актов Забайкальского края, экспертизы и оценки фактическ</w:t>
      </w:r>
      <w:r>
        <w:rPr>
          <w:rFonts w:ascii="Times New Roman" w:hAnsi="Times New Roman" w:cs="Times New Roman"/>
        </w:rPr>
        <w:t xml:space="preserve">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</w:t>
      </w:r>
      <w:r>
        <w:rPr>
          <w:rFonts w:ascii="Times New Roman" w:hAnsi="Times New Roman" w:cs="Times New Roman"/>
        </w:rPr>
        <w:t xml:space="preserve">№</w:t>
      </w:r>
      <w:r>
        <w:rPr>
          <w:rFonts w:ascii="Times New Roman" w:hAnsi="Times New Roman" w:cs="Times New Roman"/>
        </w:rPr>
        <w:t xml:space="preserve"> 80.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49864169"/>
      <w:docPartObj>
        <w:docPartGallery w:val="Page Numbers (Top of Page)"/>
        <w:docPartUnique w:val="true"/>
      </w:docPartObj>
      <w:rPr/>
    </w:sdtPr>
    <w:sdtContent>
      <w:p>
        <w:pPr>
          <w:pStyle w:val="9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3"/>
    <w:next w:val="903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4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3"/>
    <w:next w:val="903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4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4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4"/>
    <w:link w:val="909"/>
    <w:uiPriority w:val="99"/>
  </w:style>
  <w:style w:type="character" w:styleId="757">
    <w:name w:val="Footer Char"/>
    <w:basedOn w:val="904"/>
    <w:link w:val="911"/>
    <w:uiPriority w:val="99"/>
  </w:style>
  <w:style w:type="paragraph" w:styleId="758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911"/>
    <w:uiPriority w:val="99"/>
  </w:style>
  <w:style w:type="table" w:styleId="760">
    <w:name w:val="Table Grid"/>
    <w:basedOn w:val="9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4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4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character" w:styleId="908">
    <w:name w:val="Hyperlink"/>
    <w:basedOn w:val="904"/>
    <w:uiPriority w:val="99"/>
    <w:unhideWhenUsed/>
    <w:rPr>
      <w:color w:val="0000ff" w:themeColor="hyperlink"/>
      <w:u w:val="single"/>
    </w:rPr>
  </w:style>
  <w:style w:type="paragraph" w:styleId="909">
    <w:name w:val="Header"/>
    <w:basedOn w:val="903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"/>
    <w:basedOn w:val="904"/>
    <w:link w:val="909"/>
    <w:uiPriority w:val="99"/>
  </w:style>
  <w:style w:type="paragraph" w:styleId="911">
    <w:name w:val="Footer"/>
    <w:basedOn w:val="903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904"/>
    <w:link w:val="911"/>
    <w:uiPriority w:val="99"/>
  </w:style>
  <w:style w:type="paragraph" w:styleId="91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character" w:styleId="914" w:customStyle="1">
    <w:name w:val="Основной текст_"/>
    <w:basedOn w:val="904"/>
    <w:link w:val="915"/>
    <w:rPr>
      <w:rFonts w:ascii="Times New Roman" w:hAnsi="Times New Roman" w:eastAsia="Times New Roman" w:cs="Times New Roman"/>
      <w:sz w:val="26"/>
      <w:szCs w:val="26"/>
    </w:rPr>
  </w:style>
  <w:style w:type="paragraph" w:styleId="915" w:customStyle="1">
    <w:name w:val="Основной текст1"/>
    <w:basedOn w:val="903"/>
    <w:link w:val="914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916">
    <w:name w:val="Balloon Text"/>
    <w:basedOn w:val="903"/>
    <w:link w:val="9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904"/>
    <w:link w:val="9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consultantplus://offline/ref=86248B9F041F8CE9AD837808439F71DFF5F3B9F720925B31BA2B37D3CA4F0B332E341153244240CF37D11D80E8F87AED05FBd5t8A" TargetMode="External"/><Relationship Id="rId15" Type="http://schemas.openxmlformats.org/officeDocument/2006/relationships/hyperlink" Target="mailto:andreeva@depzan.e-zab.ru" TargetMode="External"/><Relationship Id="rId16" Type="http://schemas.openxmlformats.org/officeDocument/2006/relationships/hyperlink" Target="consultantplus://offline/ref=86248B9F041F8CE9AD837808439F71DFF5F3B9F720925835B02F3DD3CA4F0B332E341153245040973BD31D9EEBFF6FBB54BD0EB7B63A1FE086C404905FdFt1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Eliseeva</dc:creator>
  <cp:revision>73</cp:revision>
  <dcterms:created xsi:type="dcterms:W3CDTF">2023-09-27T05:45:00Z</dcterms:created>
  <dcterms:modified xsi:type="dcterms:W3CDTF">2024-12-13T02:36:21Z</dcterms:modified>
</cp:coreProperties>
</file>