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6E" w:rsidRDefault="00C0746E" w:rsidP="007E31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проведении </w:t>
      </w:r>
      <w:r w:rsidR="007E310A" w:rsidRPr="00C518EA">
        <w:rPr>
          <w:rFonts w:ascii="Times New Roman" w:hAnsi="Times New Roman" w:cs="Times New Roman"/>
          <w:sz w:val="28"/>
          <w:szCs w:val="28"/>
        </w:rPr>
        <w:t xml:space="preserve"> </w:t>
      </w:r>
      <w:r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оценки регулирующего воздействия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</w:rPr>
        <w:t>ОРВ)</w:t>
      </w:r>
      <w:r>
        <w:rPr>
          <w:rFonts w:ascii="Times New Roman" w:hAnsi="Times New Roman" w:cs="Times New Roman"/>
          <w:sz w:val="28"/>
          <w:szCs w:val="28"/>
        </w:rPr>
        <w:br/>
        <w:t>в Забайкальском крае</w:t>
      </w:r>
    </w:p>
    <w:p w:rsidR="007E310A" w:rsidRPr="00C518EA" w:rsidRDefault="00C0746E" w:rsidP="00C074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Июль, 2024 года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74F01" w:rsidRPr="00C518EA" w:rsidRDefault="00D74F01" w:rsidP="00C074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ключевых приоритетов Правительства Российской Федерации является </w:t>
      </w:r>
      <w:r w:rsidR="007E310A"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благоприятной предпринимательской среды</w:t>
      </w:r>
      <w:r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1BF9" w:rsidRPr="00C518EA" w:rsidRDefault="00DB1BF9" w:rsidP="00C074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Внедрение в государственное управление Российской Федерации института оценки регулирующего воздействия или, так называемого «ОРВ», планомерно осуществляется с 2010 года на федеральном уровне, с 2014 года – на региональном.</w:t>
      </w:r>
      <w:r w:rsidRPr="00C518EA">
        <w:rPr>
          <w:rFonts w:ascii="Times New Roman" w:hAnsi="Times New Roman" w:cs="Times New Roman"/>
          <w:sz w:val="28"/>
          <w:szCs w:val="28"/>
        </w:rPr>
        <w:t xml:space="preserve"> </w:t>
      </w:r>
      <w:r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исполнение Указа Президента РФ от 7 мая 2012 года № 601 «Об основных направлениях совершенствования системы государственного управления» был разработан и принят Федеральный закон Российской Федерации от 2 июля 2013 года № 176-ФЗ, которым предусматривалось закрепление с 1 января 2015 года процедуры ОРВ проектов муниципальных нормативных правовых актов, а также экспертизы действующих муниципальных нормативных правовых актов в городских округах, являющихся административными центрами субъектов Российской Федерации. </w:t>
      </w:r>
      <w:r w:rsidR="00586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941219"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 законом</w:t>
      </w:r>
      <w:proofErr w:type="gramEnd"/>
      <w:r w:rsidR="00941219"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30 декабря 2015 года № 447-ФЗ «О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актов» внедрение указанных процедур обязательно должно быть осуществлено в органах местного самоуправления городских  округов и муниципальных районов, которые определены законом субъекта РФ. Законом Забайкальского края </w:t>
      </w:r>
      <w:r w:rsidR="0058667C"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 перечень</w:t>
      </w:r>
      <w:r w:rsidR="00F14AD7"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городских округов и муниципальных районов Забайкальского края, в которых обязательно </w:t>
      </w:r>
      <w:r w:rsidR="00586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</w:t>
      </w:r>
      <w:r w:rsidR="00F14AD7"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ОРВ и экспертизы действующих нормативных правовых актов. В целях снижения административных барьеров для ведения предпринимательской деятельности на территории региона в данный перечень включены все городские округа и муниципальные районы Забайкальского края, в </w:t>
      </w:r>
      <w:proofErr w:type="spellStart"/>
      <w:proofErr w:type="gramStart"/>
      <w:r w:rsidR="00F14AD7"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н.время</w:t>
      </w:r>
      <w:proofErr w:type="spellEnd"/>
      <w:proofErr w:type="gramEnd"/>
      <w:r w:rsidR="00F14AD7" w:rsidRPr="00C5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 муниципальные округа, образованные в рамках муниципальной реформы.</w:t>
      </w:r>
    </w:p>
    <w:p w:rsidR="00C518EA" w:rsidRPr="00C518EA" w:rsidRDefault="00C518EA" w:rsidP="00C518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EA">
        <w:rPr>
          <w:rFonts w:ascii="Times New Roman" w:hAnsi="Times New Roman" w:cs="Times New Roman"/>
          <w:sz w:val="28"/>
          <w:szCs w:val="28"/>
        </w:rPr>
        <w:t>Оценка регулирующего воздействия представляет собой процедуру анализа проблем и целей государственного (муниципального) регулирования, поиска допустимых альтернативных вариантов достижения этих целей, а также связанных с ними выгод и издержек субъектов предпринимательской и иной деятельности, потребителей, государства, подвергающихся воздействию регулирования, для определения наиболее эффективного варианта регулирующего решения.</w:t>
      </w:r>
    </w:p>
    <w:p w:rsidR="00C518EA" w:rsidRPr="00C518EA" w:rsidRDefault="00C518EA" w:rsidP="00C518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EA">
        <w:rPr>
          <w:rFonts w:ascii="Times New Roman" w:hAnsi="Times New Roman" w:cs="Times New Roman"/>
          <w:sz w:val="28"/>
          <w:szCs w:val="28"/>
        </w:rPr>
        <w:t>Целью ОРВ является повышение качества регулирования с помощью детального формализованного анализа создаваемых</w:t>
      </w:r>
      <w:r>
        <w:rPr>
          <w:rFonts w:ascii="Times New Roman" w:hAnsi="Times New Roman" w:cs="Times New Roman"/>
          <w:sz w:val="28"/>
          <w:szCs w:val="28"/>
        </w:rPr>
        <w:t xml:space="preserve"> предлагаемым регулированием</w:t>
      </w:r>
      <w:r w:rsidRPr="00C518EA">
        <w:rPr>
          <w:rFonts w:ascii="Times New Roman" w:hAnsi="Times New Roman" w:cs="Times New Roman"/>
          <w:sz w:val="28"/>
          <w:szCs w:val="28"/>
        </w:rPr>
        <w:t xml:space="preserve"> последствий для предпринимательского сообщества. </w:t>
      </w:r>
    </w:p>
    <w:p w:rsidR="0058667C" w:rsidRDefault="0058667C" w:rsidP="00C51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667C" w:rsidRDefault="0058667C" w:rsidP="00C51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18EA" w:rsidRPr="00C518EA" w:rsidRDefault="00C518EA" w:rsidP="00C518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18EA">
        <w:rPr>
          <w:rFonts w:ascii="Times New Roman" w:hAnsi="Times New Roman" w:cs="Times New Roman"/>
          <w:sz w:val="28"/>
          <w:szCs w:val="28"/>
        </w:rPr>
        <w:lastRenderedPageBreak/>
        <w:t>ОРВ позволяет:</w:t>
      </w:r>
    </w:p>
    <w:p w:rsidR="00C518EA" w:rsidRPr="00C518EA" w:rsidRDefault="00C518EA" w:rsidP="00C51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8EA">
        <w:rPr>
          <w:rFonts w:ascii="Times New Roman" w:hAnsi="Times New Roman" w:cs="Times New Roman"/>
          <w:b/>
          <w:sz w:val="28"/>
          <w:szCs w:val="28"/>
        </w:rPr>
        <w:t>Снизить издержки</w:t>
      </w:r>
      <w:r w:rsidRPr="00C518EA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и иной деятельности, других заинтересованных лиц по выполнению установленных требований;</w:t>
      </w:r>
    </w:p>
    <w:p w:rsidR="00C518EA" w:rsidRPr="00C518EA" w:rsidRDefault="00C518EA" w:rsidP="00C51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8EA">
        <w:rPr>
          <w:rFonts w:ascii="Times New Roman" w:hAnsi="Times New Roman" w:cs="Times New Roman"/>
          <w:b/>
          <w:sz w:val="28"/>
          <w:szCs w:val="28"/>
        </w:rPr>
        <w:t>Обеспечить экономию бюджетных средств;</w:t>
      </w:r>
    </w:p>
    <w:p w:rsidR="00C518EA" w:rsidRPr="00C518EA" w:rsidRDefault="00C518EA" w:rsidP="00C51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8EA">
        <w:rPr>
          <w:rFonts w:ascii="Times New Roman" w:hAnsi="Times New Roman" w:cs="Times New Roman"/>
          <w:b/>
          <w:sz w:val="28"/>
          <w:szCs w:val="28"/>
        </w:rPr>
        <w:t>Снизить риски возникновения коррупции;</w:t>
      </w:r>
    </w:p>
    <w:p w:rsidR="00C518EA" w:rsidRPr="00C518EA" w:rsidRDefault="00C518EA" w:rsidP="00C51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8EA">
        <w:rPr>
          <w:rFonts w:ascii="Times New Roman" w:hAnsi="Times New Roman" w:cs="Times New Roman"/>
          <w:b/>
          <w:sz w:val="28"/>
          <w:szCs w:val="28"/>
        </w:rPr>
        <w:t xml:space="preserve">Улучшить деловой климат и повысить инвестиционную привлекательность </w:t>
      </w:r>
      <w:r w:rsidRPr="00C518EA">
        <w:rPr>
          <w:rFonts w:ascii="Times New Roman" w:hAnsi="Times New Roman" w:cs="Times New Roman"/>
          <w:sz w:val="28"/>
          <w:szCs w:val="28"/>
        </w:rPr>
        <w:t>страны, региона, муниципального образования</w:t>
      </w:r>
      <w:r w:rsidRPr="00C518EA">
        <w:rPr>
          <w:rFonts w:ascii="Times New Roman" w:hAnsi="Times New Roman" w:cs="Times New Roman"/>
          <w:b/>
          <w:sz w:val="28"/>
          <w:szCs w:val="28"/>
        </w:rPr>
        <w:t>;</w:t>
      </w:r>
    </w:p>
    <w:p w:rsidR="00C518EA" w:rsidRPr="00C518EA" w:rsidRDefault="00C518EA" w:rsidP="00C51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8EA">
        <w:rPr>
          <w:rFonts w:ascii="Times New Roman" w:hAnsi="Times New Roman" w:cs="Times New Roman"/>
          <w:b/>
          <w:sz w:val="28"/>
          <w:szCs w:val="28"/>
        </w:rPr>
        <w:t xml:space="preserve">Повысить доверие граждан и бизнеса </w:t>
      </w:r>
      <w:r w:rsidRPr="00C518EA">
        <w:rPr>
          <w:rFonts w:ascii="Times New Roman" w:hAnsi="Times New Roman" w:cs="Times New Roman"/>
          <w:sz w:val="28"/>
          <w:szCs w:val="28"/>
        </w:rPr>
        <w:t>к</w:t>
      </w:r>
      <w:r w:rsidRPr="00C51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8EA">
        <w:rPr>
          <w:rFonts w:ascii="Times New Roman" w:hAnsi="Times New Roman" w:cs="Times New Roman"/>
          <w:sz w:val="28"/>
          <w:szCs w:val="28"/>
        </w:rPr>
        <w:t>принимаемым государством решениям</w:t>
      </w:r>
      <w:r w:rsidRPr="00C518EA">
        <w:rPr>
          <w:rFonts w:ascii="Times New Roman" w:hAnsi="Times New Roman" w:cs="Times New Roman"/>
          <w:b/>
          <w:sz w:val="28"/>
          <w:szCs w:val="28"/>
        </w:rPr>
        <w:t>.</w:t>
      </w:r>
    </w:p>
    <w:p w:rsidR="007E310A" w:rsidRPr="00C518EA" w:rsidRDefault="005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за 2014- 2024 год</w:t>
      </w:r>
      <w:r w:rsidR="00C51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C518EA">
        <w:rPr>
          <w:rFonts w:ascii="Times New Roman" w:hAnsi="Times New Roman" w:cs="Times New Roman"/>
          <w:sz w:val="28"/>
          <w:szCs w:val="28"/>
        </w:rPr>
        <w:t>ОРВ:</w:t>
      </w:r>
    </w:p>
    <w:p w:rsidR="00E407B6" w:rsidRPr="00171CA2" w:rsidRDefault="007E310A" w:rsidP="00171CA2">
      <w:pPr>
        <w:jc w:val="both"/>
        <w:rPr>
          <w:rFonts w:ascii="Times New Roman" w:hAnsi="Times New Roman" w:cs="Times New Roman"/>
          <w:sz w:val="28"/>
          <w:szCs w:val="28"/>
        </w:rPr>
      </w:pPr>
      <w:r w:rsidRPr="007E310A">
        <w:rPr>
          <w:noProof/>
          <w:lang w:eastAsia="ru-RU"/>
        </w:rPr>
        <w:drawing>
          <wp:inline distT="0" distB="0" distL="0" distR="0">
            <wp:extent cx="6858000" cy="3924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702" cy="39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67C">
        <w:br/>
      </w:r>
    </w:p>
    <w:p w:rsidR="00F76498" w:rsidRDefault="0058667C" w:rsidP="00171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CA2">
        <w:rPr>
          <w:rFonts w:ascii="Times New Roman" w:hAnsi="Times New Roman" w:cs="Times New Roman"/>
          <w:sz w:val="28"/>
          <w:szCs w:val="28"/>
        </w:rPr>
        <w:t xml:space="preserve">За 1 полугодие 2024 года оценку прошли 25 проектов </w:t>
      </w:r>
      <w:r w:rsidR="00171CA2" w:rsidRPr="00171CA2">
        <w:rPr>
          <w:rFonts w:ascii="Times New Roman" w:hAnsi="Times New Roman" w:cs="Times New Roman"/>
          <w:sz w:val="28"/>
          <w:szCs w:val="28"/>
        </w:rPr>
        <w:t>НПА края, эффектом от которой стали исключения из проектов избыточных обязанностей для субъектов предпринимательской деятельности</w:t>
      </w:r>
      <w:r w:rsidR="00F76498">
        <w:rPr>
          <w:rFonts w:ascii="Times New Roman" w:hAnsi="Times New Roman" w:cs="Times New Roman"/>
          <w:sz w:val="28"/>
          <w:szCs w:val="28"/>
        </w:rPr>
        <w:t>.</w:t>
      </w:r>
      <w:r w:rsidR="00171CA2" w:rsidRPr="00171CA2">
        <w:rPr>
          <w:rFonts w:ascii="Times New Roman" w:hAnsi="Times New Roman" w:cs="Times New Roman"/>
          <w:sz w:val="28"/>
          <w:szCs w:val="28"/>
        </w:rPr>
        <w:t xml:space="preserve"> </w:t>
      </w:r>
      <w:r w:rsidR="00F76498">
        <w:rPr>
          <w:rFonts w:ascii="Times New Roman" w:hAnsi="Times New Roman" w:cs="Times New Roman"/>
          <w:sz w:val="28"/>
          <w:szCs w:val="28"/>
        </w:rPr>
        <w:t>Н</w:t>
      </w:r>
      <w:r w:rsidR="00171CA2" w:rsidRPr="00171CA2">
        <w:rPr>
          <w:rFonts w:ascii="Times New Roman" w:hAnsi="Times New Roman" w:cs="Times New Roman"/>
          <w:sz w:val="28"/>
          <w:szCs w:val="28"/>
        </w:rPr>
        <w:t>апример, исключение из порядка предоставления субсидии СМИ избыточного условия субсидирования, исключение из ряда проектов об утверждении Порядков предоставления государственной поддержки</w:t>
      </w:r>
      <w:r w:rsidR="00F76498">
        <w:rPr>
          <w:rFonts w:ascii="Times New Roman" w:hAnsi="Times New Roman" w:cs="Times New Roman"/>
          <w:sz w:val="28"/>
          <w:szCs w:val="28"/>
        </w:rPr>
        <w:t xml:space="preserve"> обязанностей по предоставлению документов, которые орган власти может получить посредством СМЭВ. </w:t>
      </w:r>
    </w:p>
    <w:p w:rsidR="009C5F05" w:rsidRDefault="00F76498" w:rsidP="00171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примеров эффективности процедур ОРВ является существенная доработка проекта закона Забайкальского края </w:t>
      </w:r>
      <w:r w:rsidRPr="00F76498">
        <w:rPr>
          <w:rFonts w:ascii="Times New Roman" w:hAnsi="Times New Roman" w:cs="Times New Roman"/>
          <w:sz w:val="28"/>
          <w:szCs w:val="28"/>
        </w:rPr>
        <w:t>«Об отдельных вопросах охраны атмосферного воздуха на территории Забайкальского края»</w:t>
      </w:r>
      <w:r w:rsidR="00C814F6">
        <w:rPr>
          <w:rFonts w:ascii="Times New Roman" w:hAnsi="Times New Roman" w:cs="Times New Roman"/>
          <w:sz w:val="28"/>
          <w:szCs w:val="28"/>
        </w:rPr>
        <w:t>, в котором разработчик (</w:t>
      </w:r>
      <w:proofErr w:type="spellStart"/>
      <w:r w:rsidR="00C814F6">
        <w:rPr>
          <w:rFonts w:ascii="Times New Roman" w:hAnsi="Times New Roman" w:cs="Times New Roman"/>
          <w:sz w:val="28"/>
          <w:szCs w:val="28"/>
        </w:rPr>
        <w:t>Мингприроды</w:t>
      </w:r>
      <w:proofErr w:type="spellEnd"/>
      <w:r w:rsidR="00C814F6">
        <w:rPr>
          <w:rFonts w:ascii="Times New Roman" w:hAnsi="Times New Roman" w:cs="Times New Roman"/>
          <w:sz w:val="28"/>
          <w:szCs w:val="28"/>
        </w:rPr>
        <w:t xml:space="preserve"> края) получив несколько заключений о высокой степени регулирующего воздействия акта изменил норму о запрете применения стационарных источников теплоснабжения сузив её применение по территориальности </w:t>
      </w:r>
      <w:r w:rsidR="00096FE1">
        <w:rPr>
          <w:rFonts w:ascii="Times New Roman" w:hAnsi="Times New Roman" w:cs="Times New Roman"/>
          <w:sz w:val="28"/>
          <w:szCs w:val="28"/>
        </w:rPr>
        <w:t xml:space="preserve">и виду сжигаемого топлива, а также внес отлагательный срок вступления в силу данного </w:t>
      </w:r>
      <w:r w:rsidR="00096FE1">
        <w:rPr>
          <w:rFonts w:ascii="Times New Roman" w:hAnsi="Times New Roman" w:cs="Times New Roman"/>
          <w:sz w:val="28"/>
          <w:szCs w:val="28"/>
        </w:rPr>
        <w:lastRenderedPageBreak/>
        <w:t>запрета. Данное компромиссное решение было выработано в рамках процедур ОРВ и совместных совещаний в профильном комитете Законодательного Собрания края. Однако не все замечания ОРВ безоговорочно учитываются разработчиками. Не учитываются разработчиком замечания о сроках действия устанавливаемых обязательных требованиях</w:t>
      </w:r>
      <w:r w:rsidR="009C5F05">
        <w:rPr>
          <w:rFonts w:ascii="Times New Roman" w:hAnsi="Times New Roman" w:cs="Times New Roman"/>
          <w:sz w:val="28"/>
          <w:szCs w:val="28"/>
        </w:rPr>
        <w:t>. В этом направлении следует проводить дополнительную разъяснительную работу и вносить изменения в порядок проведения ОРВ и порядок проведения установления обязательных требований.</w:t>
      </w:r>
    </w:p>
    <w:p w:rsidR="0058667C" w:rsidRDefault="009C5F05" w:rsidP="00171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полугодии 2024 года проведен ежегодный рейтинг качества проведения ОРВ в органах местного самоуправления края, который формируется во исполнение распоряжения</w:t>
      </w:r>
      <w:r w:rsidRPr="009C5F05">
        <w:rPr>
          <w:rFonts w:ascii="Times New Roman" w:hAnsi="Times New Roman" w:cs="Times New Roman"/>
          <w:sz w:val="28"/>
          <w:szCs w:val="28"/>
        </w:rPr>
        <w:t xml:space="preserve"> Губернатора Забайкальского края № </w:t>
      </w:r>
      <w:r>
        <w:rPr>
          <w:rFonts w:ascii="Times New Roman" w:hAnsi="Times New Roman" w:cs="Times New Roman"/>
          <w:sz w:val="28"/>
          <w:szCs w:val="28"/>
        </w:rPr>
        <w:t>172</w:t>
      </w:r>
      <w:r w:rsidRPr="009C5F05">
        <w:rPr>
          <w:rFonts w:ascii="Times New Roman" w:hAnsi="Times New Roman" w:cs="Times New Roman"/>
          <w:sz w:val="28"/>
          <w:szCs w:val="28"/>
        </w:rPr>
        <w:t xml:space="preserve">-р от </w:t>
      </w:r>
      <w:r>
        <w:rPr>
          <w:rFonts w:ascii="Times New Roman" w:hAnsi="Times New Roman" w:cs="Times New Roman"/>
          <w:sz w:val="28"/>
          <w:szCs w:val="28"/>
        </w:rPr>
        <w:t>19.04.</w:t>
      </w:r>
      <w:r w:rsidRPr="009C5F0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C3A3B" w:rsidRDefault="00CC3A3B" w:rsidP="00CC3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Лидерами по числу полученных баллов за проведение в 2023 году ОРВ проектов МНПА и экспертизы МНПА стали Городской округ «Город Чита» (15 баллов), муниципальный район «Читинский район» (14 баллов), муниципальный район «Сретенский район» (12 баллов).</w:t>
      </w:r>
    </w:p>
    <w:p w:rsidR="00CC3A3B" w:rsidRPr="00CC3A3B" w:rsidRDefault="00CC3A3B" w:rsidP="00CC3A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181" w:type="dxa"/>
        <w:tblInd w:w="113" w:type="dxa"/>
        <w:tblLook w:val="04A0" w:firstRow="1" w:lastRow="0" w:firstColumn="1" w:lastColumn="0" w:noHBand="0" w:noVBand="1"/>
      </w:tblPr>
      <w:tblGrid>
        <w:gridCol w:w="5584"/>
        <w:gridCol w:w="2138"/>
        <w:gridCol w:w="1459"/>
      </w:tblGrid>
      <w:tr w:rsidR="00CC3A3B" w:rsidRPr="00CC3A3B" w:rsidTr="00320D61">
        <w:trPr>
          <w:trHeight w:val="546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баллов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 "Город Чита"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"Читинский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"Сретенский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 "Город Петровск- Забайкальский"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"Агинский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C3A3B" w:rsidRPr="00CC3A3B" w:rsidTr="00320D61">
        <w:trPr>
          <w:trHeight w:val="546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МР "Город Краснокаменск и 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Краснокаменский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"Забайкальский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Улётовский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"Чернышевский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"Петровск-Забайкальский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 "Поселок Агинское"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Акшинский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Хилокский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Александрово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-Заводский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Балейский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Борзинский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"Нерчинский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C3A3B" w:rsidRPr="00CC3A3B" w:rsidTr="00320D61">
        <w:trPr>
          <w:trHeight w:val="546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 "Приаргунский муниципальный округ"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Газимуро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-Заводский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Карымский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Красночикойский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Могочинский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Ононский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Тунгиро-Олёкминский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Тунгокоченский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Дульдургинский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Оловяннинский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Шелопугинский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C3A3B" w:rsidRPr="00CC3A3B" w:rsidTr="00320D61">
        <w:trPr>
          <w:trHeight w:val="326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Каларский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муниципальный округ"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Шилкинский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Кыринский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МР "Калганский район"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 ЗАТО п. Горный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Могойтуйский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C3A3B" w:rsidRPr="00CC3A3B" w:rsidTr="00320D61">
        <w:trPr>
          <w:trHeight w:val="273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МР "</w:t>
            </w:r>
            <w:proofErr w:type="spellStart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Нерчинско</w:t>
            </w:r>
            <w:proofErr w:type="spellEnd"/>
            <w:r w:rsidRPr="00CC3A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-Заводский район"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A3B" w:rsidRPr="00CC3A3B" w:rsidRDefault="00CC3A3B" w:rsidP="00C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</w:tbl>
    <w:p w:rsidR="00CC3A3B" w:rsidRDefault="00CC3A3B" w:rsidP="00171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ОРВ в муниципалитетах рассчитывается исходя из данных ежегодных докладов ОМСУ </w:t>
      </w:r>
      <w:r w:rsidR="00F9602B">
        <w:rPr>
          <w:rFonts w:ascii="Times New Roman" w:hAnsi="Times New Roman" w:cs="Times New Roman"/>
          <w:sz w:val="28"/>
          <w:szCs w:val="28"/>
        </w:rPr>
        <w:t>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показателям: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2"/>
        <w:gridCol w:w="4564"/>
      </w:tblGrid>
      <w:tr w:rsidR="00534C61" w:rsidRPr="00CC3A3B" w:rsidTr="00534C61">
        <w:trPr>
          <w:trHeight w:val="360"/>
        </w:trPr>
        <w:tc>
          <w:tcPr>
            <w:tcW w:w="5892" w:type="dxa"/>
          </w:tcPr>
          <w:p w:rsidR="00534C61" w:rsidRPr="00534C61" w:rsidRDefault="00534C61" w:rsidP="0053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Пункт доклада</w:t>
            </w:r>
          </w:p>
        </w:tc>
      </w:tr>
      <w:tr w:rsidR="00534C61" w:rsidRPr="00CC3A3B" w:rsidTr="00534C61">
        <w:trPr>
          <w:trHeight w:val="360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нормативно правовая база, регулирующая проведение процедур ОРВ 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534C61" w:rsidRPr="00CC3A3B" w:rsidTr="00534C61">
        <w:trPr>
          <w:trHeight w:val="468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Утверждены типовые формы документов, необходимые для проведения процедуры ОРВ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534C61" w:rsidRPr="00CC3A3B" w:rsidTr="00534C61">
        <w:trPr>
          <w:trHeight w:val="420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ОРВ осуществляется на постоянной основе (ежегодно проводятся оценка или экспертиза)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534C61" w:rsidRPr="00CC3A3B" w:rsidTr="00534C61">
        <w:trPr>
          <w:trHeight w:val="420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Наличие раздела ОРВ на официальном сайте муниципального образования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534C61" w:rsidRPr="00CC3A3B" w:rsidTr="00534C61">
        <w:trPr>
          <w:trHeight w:val="696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методические документы ,а также типовые формы документов, необходимые для проведения ОРВ проектов НПА, размещены на официальном  сайте муниципального образования 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534C61" w:rsidRPr="00CC3A3B" w:rsidTr="00534C61">
        <w:trPr>
          <w:trHeight w:val="1128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 отчетный год заключений об ОРВ(1б), уведомлений о публичных консультациях (1б), отчетов о публичных консультациях(1б) </w:t>
            </w:r>
            <w:r w:rsidRPr="00534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официальном сайте муниципального образования</w:t>
            </w: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 xml:space="preserve"> (по 1 баллу за каждый вид размещаемой информации, максимальное число баллов -3)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61" w:rsidRPr="00CC3A3B" w:rsidTr="00534C61">
        <w:trPr>
          <w:trHeight w:val="456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Проводилась экспертиза муниципальных правовых актов в отчетном году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534C61" w:rsidRPr="00CC3A3B" w:rsidTr="00534C61">
        <w:trPr>
          <w:trHeight w:val="468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 порядок проведения экспертизы действующих </w:t>
            </w:r>
            <w:proofErr w:type="spellStart"/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proofErr w:type="spellEnd"/>
            <w:r w:rsidRPr="00534C61"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534C61" w:rsidRPr="00CC3A3B" w:rsidTr="00534C61">
        <w:trPr>
          <w:trHeight w:val="408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Наличие заключений об экспертизе действующих НПА (1балл - 1-2 заключения, 2 б. - от 3 до 4 з., 3 б. -5 и более з.) на официальном сайте ОМСУ</w:t>
            </w:r>
          </w:p>
        </w:tc>
        <w:tc>
          <w:tcPr>
            <w:tcW w:w="4564" w:type="dxa"/>
          </w:tcPr>
          <w:p w:rsidR="00534C61" w:rsidRPr="00534C61" w:rsidRDefault="00534C61" w:rsidP="00CC3A3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61" w:rsidRPr="00CC3A3B" w:rsidTr="00534C61">
        <w:trPr>
          <w:trHeight w:val="420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План проведения экспертизы на отчетный год утвержден и размещен в публичном доступе в сети Интернет</w:t>
            </w:r>
          </w:p>
        </w:tc>
        <w:tc>
          <w:tcPr>
            <w:tcW w:w="4564" w:type="dxa"/>
          </w:tcPr>
          <w:p w:rsidR="00534C61" w:rsidRPr="00534C61" w:rsidRDefault="00534C61" w:rsidP="00CC3A3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61" w:rsidRPr="00CC3A3B" w:rsidTr="00534C61">
        <w:trPr>
          <w:trHeight w:val="792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посвященные теме оценки регулирующего воздействия в </w:t>
            </w:r>
            <w:proofErr w:type="spellStart"/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. по информационной поддержке института оценки регулирующего воздействия в СМИ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Pr="00534C61">
              <w:rPr>
                <w:rFonts w:ascii="Times New Roman" w:hAnsi="Times New Roman" w:cs="Times New Roman"/>
                <w:sz w:val="24"/>
                <w:szCs w:val="24"/>
              </w:rPr>
              <w:br/>
              <w:t>4.10</w:t>
            </w:r>
          </w:p>
        </w:tc>
      </w:tr>
      <w:tr w:rsidR="00534C61" w:rsidRPr="00CC3A3B" w:rsidTr="00534C61">
        <w:trPr>
          <w:trHeight w:val="672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Наличие координационного органа (совета), в полномочия которого входит рассмотрение вопросов в сфере ОРВ и экспертизы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</w:tr>
      <w:tr w:rsidR="00534C61" w:rsidRPr="00CC3A3B" w:rsidTr="00534C61">
        <w:trPr>
          <w:trHeight w:val="1128"/>
        </w:trPr>
        <w:tc>
          <w:tcPr>
            <w:tcW w:w="5892" w:type="dxa"/>
            <w:hideMark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Наличие заключенных соглашений с бизнес-ассоциациями, предпринимательским сообществом, экспертных организаций, организаций, целью которых является защита и представление интересов субъектов предпринимательской деятельности, организаций, с которыми заключены соглашения  ОРВ, а также иных лиц.</w:t>
            </w:r>
          </w:p>
        </w:tc>
        <w:tc>
          <w:tcPr>
            <w:tcW w:w="4564" w:type="dxa"/>
          </w:tcPr>
          <w:p w:rsidR="00534C61" w:rsidRPr="00534C61" w:rsidRDefault="00534C61" w:rsidP="0053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1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</w:tr>
    </w:tbl>
    <w:p w:rsidR="00CC3A3B" w:rsidRDefault="00CC3A3B" w:rsidP="00171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A3B" w:rsidRDefault="00CC3A3B" w:rsidP="00171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A3B" w:rsidRDefault="00CC3A3B" w:rsidP="00171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A3B" w:rsidRDefault="00CC3A3B" w:rsidP="00171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22010" cy="306959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10" cy="306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602B" w:rsidRPr="00AE02B2" w:rsidRDefault="00F9602B" w:rsidP="00A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2B2">
        <w:rPr>
          <w:rFonts w:ascii="Times New Roman" w:hAnsi="Times New Roman" w:cs="Times New Roman"/>
          <w:sz w:val="28"/>
          <w:szCs w:val="28"/>
        </w:rPr>
        <w:t xml:space="preserve">Рейтинг муниципалитетов по ОРВ учитывается при формировании </w:t>
      </w:r>
      <w:r w:rsidRPr="00AE02B2">
        <w:rPr>
          <w:rFonts w:ascii="Times New Roman" w:hAnsi="Times New Roman" w:cs="Times New Roman"/>
          <w:sz w:val="28"/>
          <w:szCs w:val="28"/>
        </w:rPr>
        <w:t xml:space="preserve">ежегодного </w:t>
      </w:r>
    </w:p>
    <w:p w:rsidR="00F9602B" w:rsidRPr="00171CA2" w:rsidRDefault="00F9602B" w:rsidP="00AE0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B2">
        <w:rPr>
          <w:rFonts w:ascii="Times New Roman" w:hAnsi="Times New Roman" w:cs="Times New Roman"/>
          <w:sz w:val="28"/>
          <w:szCs w:val="28"/>
        </w:rPr>
        <w:t xml:space="preserve">рейтинга состояния инвестиционного климата муниципальных районов, </w:t>
      </w:r>
      <w:r w:rsidR="00AE02B2" w:rsidRPr="00AE02B2">
        <w:rPr>
          <w:rFonts w:ascii="Times New Roman" w:hAnsi="Times New Roman" w:cs="Times New Roman"/>
          <w:sz w:val="28"/>
          <w:szCs w:val="28"/>
        </w:rPr>
        <w:t>м</w:t>
      </w:r>
      <w:r w:rsidRPr="00AE02B2">
        <w:rPr>
          <w:rFonts w:ascii="Times New Roman" w:hAnsi="Times New Roman" w:cs="Times New Roman"/>
          <w:sz w:val="28"/>
          <w:szCs w:val="28"/>
        </w:rPr>
        <w:t>униципальных и городских округов Забайкальского края</w:t>
      </w:r>
      <w:r w:rsidR="00AE02B2" w:rsidRPr="00AE02B2">
        <w:rPr>
          <w:rFonts w:ascii="Times New Roman" w:hAnsi="Times New Roman" w:cs="Times New Roman"/>
          <w:sz w:val="28"/>
          <w:szCs w:val="28"/>
        </w:rPr>
        <w:t xml:space="preserve">. Вес </w:t>
      </w:r>
      <w:r w:rsidR="00AE02B2" w:rsidRPr="00AE02B2">
        <w:rPr>
          <w:rFonts w:ascii="Times New Roman" w:hAnsi="Times New Roman" w:cs="Times New Roman"/>
          <w:color w:val="000000"/>
          <w:sz w:val="28"/>
          <w:szCs w:val="28"/>
        </w:rPr>
        <w:t>оценк</w:t>
      </w:r>
      <w:r w:rsidR="00AE02B2" w:rsidRPr="00AE02B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E02B2" w:rsidRPr="00AE02B2">
        <w:rPr>
          <w:rFonts w:ascii="Times New Roman" w:hAnsi="Times New Roman" w:cs="Times New Roman"/>
          <w:color w:val="000000"/>
          <w:sz w:val="28"/>
          <w:szCs w:val="28"/>
        </w:rPr>
        <w:t xml:space="preserve"> ОМСУ муниципальных образований </w:t>
      </w:r>
      <w:r w:rsidR="00AE02B2">
        <w:rPr>
          <w:rFonts w:ascii="Times New Roman" w:hAnsi="Times New Roman" w:cs="Times New Roman"/>
          <w:color w:val="000000"/>
          <w:sz w:val="28"/>
          <w:szCs w:val="28"/>
        </w:rPr>
        <w:t xml:space="preserve">Забайкальского края </w:t>
      </w:r>
      <w:r w:rsidR="00AE02B2" w:rsidRPr="00AE02B2">
        <w:rPr>
          <w:rFonts w:ascii="Times New Roman" w:hAnsi="Times New Roman" w:cs="Times New Roman"/>
          <w:color w:val="000000"/>
          <w:sz w:val="28"/>
          <w:szCs w:val="28"/>
        </w:rPr>
        <w:t>в части их деятельности по качеству организации и проведения оценки регулирующего воздействия (Р6) – 15 %.</w:t>
      </w:r>
      <w:bookmarkStart w:id="0" w:name="_GoBack"/>
      <w:bookmarkEnd w:id="0"/>
    </w:p>
    <w:sectPr w:rsidR="00F9602B" w:rsidRPr="00171CA2" w:rsidSect="00C07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65CD7"/>
    <w:multiLevelType w:val="hybridMultilevel"/>
    <w:tmpl w:val="F140A8BA"/>
    <w:lvl w:ilvl="0" w:tplc="0419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0A"/>
    <w:rsid w:val="00096FE1"/>
    <w:rsid w:val="00171CA2"/>
    <w:rsid w:val="00390126"/>
    <w:rsid w:val="00534C61"/>
    <w:rsid w:val="0058667C"/>
    <w:rsid w:val="007E310A"/>
    <w:rsid w:val="00941219"/>
    <w:rsid w:val="009C5F05"/>
    <w:rsid w:val="00AE02B2"/>
    <w:rsid w:val="00C0746E"/>
    <w:rsid w:val="00C518EA"/>
    <w:rsid w:val="00C814F6"/>
    <w:rsid w:val="00CC3A3B"/>
    <w:rsid w:val="00D74F01"/>
    <w:rsid w:val="00DB1BF9"/>
    <w:rsid w:val="00E407B6"/>
    <w:rsid w:val="00F14AD7"/>
    <w:rsid w:val="00F76498"/>
    <w:rsid w:val="00F9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1BEBD6"/>
  <w15:chartTrackingRefBased/>
  <w15:docId w15:val="{57E1540B-EEEA-4F76-AB2E-E0810580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Ольга</dc:creator>
  <cp:keywords/>
  <dc:description/>
  <cp:lastModifiedBy>Игнатьева Ольга</cp:lastModifiedBy>
  <cp:revision>2</cp:revision>
  <dcterms:created xsi:type="dcterms:W3CDTF">2024-11-13T04:11:00Z</dcterms:created>
  <dcterms:modified xsi:type="dcterms:W3CDTF">2024-11-13T04:11:00Z</dcterms:modified>
</cp:coreProperties>
</file>