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СВОДНЫЙ ОТЧЕТ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проведения оценки регулирующего воздействия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проекта нормативного правового акта Забайкальского края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1. Общая информация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1"/>
      </w:tblGrid>
      <w:tr>
        <w:tblPrEx/>
        <w:trPr>
          <w:trHeight w:val="230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07"/>
              <w:jc w:val="both"/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1.1. Наименование исполнительного органа Забайкальского края или иного субъекта права законодательной инициативы в соответствии с </w:t>
            </w:r>
            <w:hyperlink r:id="rId14" w:tooltip="consultantplus://offline/ref=86248B9F041F8CE9AD837808439F71DFF5F3B9F720925B31BA2B37D3CA4F0B332E341153244240CF37D11D80E8F87AED05FBd5t8A" w:history="1">
              <w:r>
                <w:rPr>
                  <w:rFonts w:ascii="Times New Roman" w:hAnsi="Times New Roman" w:cs="Times New Roman"/>
                  <w:highlight w:val="white"/>
                </w:rPr>
                <w:t xml:space="preserve">Законом</w:t>
              </w:r>
            </w:hyperlink>
            <w:r>
              <w:rPr>
                <w:rFonts w:ascii="Times New Roman" w:hAnsi="Times New Roman" w:cs="Times New Roman"/>
                <w:highlight w:val="white"/>
              </w:rPr>
              <w:t xml:space="preserve"> Забайкальского края от 18 декабря 2009 года </w:t>
            </w:r>
            <w:r>
              <w:rPr>
                <w:rFonts w:ascii="Times New Roman" w:hAnsi="Times New Roman" w:cs="Times New Roman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highlight w:val="white"/>
              </w:rPr>
              <w:t xml:space="preserve"> 321-ЗЗК </w:t>
            </w:r>
            <w:r>
              <w:rPr>
                <w:rFonts w:ascii="Times New Roman" w:hAnsi="Times New Roman" w:cs="Times New Roman"/>
                <w:highlight w:val="white"/>
              </w:rPr>
              <w:t xml:space="preserve">«</w:t>
            </w:r>
            <w:r>
              <w:rPr>
                <w:rFonts w:ascii="Times New Roman" w:hAnsi="Times New Roman" w:cs="Times New Roman"/>
                <w:highlight w:val="white"/>
              </w:rPr>
              <w:t xml:space="preserve">О нормативных правовых актах Забайкальского края</w:t>
            </w:r>
            <w:r>
              <w:rPr>
                <w:rFonts w:ascii="Times New Roman" w:hAnsi="Times New Roman" w:cs="Times New Roman"/>
                <w:highlight w:val="white"/>
              </w:rPr>
              <w:t xml:space="preserve">»</w:t>
            </w:r>
            <w:r>
              <w:rPr>
                <w:rFonts w:ascii="Times New Roman" w:hAnsi="Times New Roman" w:cs="Times New Roman"/>
                <w:highlight w:val="white"/>
              </w:rPr>
              <w:t xml:space="preserve"> - разработчика проекта нормативного правового акта Забайкальского края (далее соответственно - разработчик, проект НПА):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07"/>
              <w:jc w:val="both"/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Полное наименование: Министерство труда и социальной защит</w:t>
            </w:r>
            <w:r>
              <w:rPr>
                <w:rFonts w:ascii="Times New Roman" w:hAnsi="Times New Roman" w:cs="Times New Roman"/>
                <w:highlight w:val="white"/>
              </w:rPr>
              <w:t xml:space="preserve">ы населения Забайкальского края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07"/>
              <w:jc w:val="both"/>
              <w:spacing w:line="240" w:lineRule="auto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Сокращенное наименование: </w:t>
            </w:r>
            <w:r>
              <w:rPr>
                <w:rFonts w:ascii="Times New Roman" w:hAnsi="Times New Roman" w:cs="Times New Roman"/>
                <w:highlight w:val="white"/>
              </w:rPr>
              <w:t xml:space="preserve">Минсоцзащиты Забайкальского края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1.2. Сроки проведения публичного обсуждения проекта НПА </w:t>
            </w:r>
            <w:hyperlink w:tooltip="#P485" w:anchor="P485" w:history="1">
              <w:r>
                <w:rPr>
                  <w:rFonts w:ascii="Times New Roman" w:hAnsi="Times New Roman" w:cs="Times New Roman"/>
                  <w:color w:val="0000ff"/>
                  <w:highlight w:val="white"/>
                </w:rPr>
                <w:t xml:space="preserve">&lt;*&gt;</w:t>
              </w:r>
            </w:hyperlink>
            <w:r>
              <w:rPr>
                <w:rFonts w:ascii="Times New Roman" w:hAnsi="Times New Roman" w:cs="Times New Roman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1a1a1a"/>
                <w:sz w:val="22"/>
                <w:szCs w:val="22"/>
                <w:highlight w:val="white"/>
              </w:rPr>
              <w:t xml:space="preserve">Проведение публичных обсуждений не требуется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1.3. Сведения о соисполнителях проекта НПА </w:t>
            </w:r>
            <w:hyperlink w:tooltip="#P486" w:anchor="P486" w:history="1">
              <w:r>
                <w:rPr>
                  <w:rFonts w:ascii="Times New Roman" w:hAnsi="Times New Roman" w:cs="Times New Roman"/>
                  <w:color w:val="0000ff"/>
                  <w:highlight w:val="white"/>
                </w:rPr>
                <w:t xml:space="preserve">&lt;**&gt;</w:t>
              </w:r>
            </w:hyperlink>
            <w:r>
              <w:rPr>
                <w:rFonts w:ascii="Times New Roman" w:hAnsi="Times New Roman" w:cs="Times New Roman"/>
                <w:highlight w:val="white"/>
              </w:rPr>
              <w:t xml:space="preserve">:</w:t>
            </w:r>
            <w:r>
              <w:rPr>
                <w:rFonts w:ascii="Times New Roman" w:hAnsi="Times New Roman" w:cs="Times New Roman"/>
                <w:highlight w:val="white"/>
              </w:rPr>
              <w:t xml:space="preserve"> соисполнители отсутствуют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1.4. Вид и наименование проекта НПА: </w:t>
            </w:r>
            <w:r>
              <w:rPr>
                <w:rFonts w:ascii="Times New Roman" w:hAnsi="Times New Roman" w:cs="Times New Roman"/>
                <w:highlight w:val="white"/>
              </w:rPr>
              <w:t xml:space="preserve">Постановлени</w:t>
            </w:r>
            <w:r>
              <w:rPr>
                <w:rFonts w:ascii="Times New Roman" w:hAnsi="Times New Roman" w:cs="Times New Roman"/>
                <w:highlight w:val="white"/>
              </w:rPr>
              <w:t xml:space="preserve">е</w:t>
            </w:r>
            <w:r>
              <w:rPr>
                <w:rFonts w:ascii="Times New Roman" w:hAnsi="Times New Roman" w:cs="Times New Roman"/>
                <w:highlight w:val="white"/>
              </w:rPr>
              <w:t xml:space="preserve"> Правительства Забайкальского края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  <w:highlight w:val="whit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Об утверждении Стандарта ответственного трудоустройства несовершеннолетних граждан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»</w:t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  <w:r>
              <w:rPr>
                <w:b/>
                <w:bCs/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1.5. Краткое описание проблемы, на решение которой направлено предлагаемое правовое регулирование, и оценка негативных эффектов, порождаемых наличием данной проблемы: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Проект постановления направлен 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гарантированное соблюдение прав и законных интересов несовершеннолетних граждан в возрасте от 14 до 18 лет; обеспечение условий, соответствующих требованиям охраны труда; формирование и ведение реестра ответственных работодателей в соответствии с установле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нными критериями ответственного трудоустройства.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  <w:b w:val="0"/>
                <w:bCs w:val="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1.6. Основание для разработки проекта НПА: 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пункт 2 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часть 3 статьи 28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 Федерального закона от 12.12.2023 г. № 565-ФЗ  «О занятости населения в Российской Федерации»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highlight w:val="white"/>
              </w:rPr>
              <w:t xml:space="preserve">постановление Правительства Забайкальского края от 1 августа 2014 года № 457 «Об утверждении государственной программы Забайкальского края «Содействи</w:t>
            </w:r>
            <w:r>
              <w:rPr>
                <w:rFonts w:ascii="Times New Roman" w:hAnsi="Times New Roman" w:cs="Times New Roman"/>
                <w:b w:val="0"/>
                <w:highlight w:val="white"/>
              </w:rPr>
              <w:t xml:space="preserve">я</w:t>
            </w:r>
            <w:r>
              <w:rPr>
                <w:rFonts w:ascii="Times New Roman" w:hAnsi="Times New Roman" w:cs="Times New Roman"/>
                <w:b w:val="0"/>
                <w:highlight w:val="white"/>
              </w:rPr>
              <w:t xml:space="preserve"> занятости населения»</w:t>
            </w:r>
            <w:r>
              <w:rPr>
                <w:rFonts w:ascii="Times New Roman" w:hAnsi="Times New Roman" w:cs="Times New Roman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b w:val="0"/>
                <w:bCs w:val="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еко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мендаци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и 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в рамках выполнения Карты действий Уполномоченного при Президенте Российской Федерации по правам ребенка М.А.Львовой-Беловой.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  <w14:ligatures w14:val="none"/>
              </w:rPr>
            </w:r>
          </w:p>
        </w:tc>
      </w:tr>
      <w:tr>
        <w:tblPrEx/>
        <w:trPr>
          <w:trHeight w:val="96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ind w:firstLine="0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1.7. Краткое опи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сание целей предлагаемого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регулирования: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гарантированное соблюдение прав и законных интересов несовершеннолетних граждан в возрасте от 14 до 18 лет; обеспечение условий, соответствующих требованиям охраны труда; формирование и ведение реестра ответственных работодателей в соответствии с установле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2"/>
                <w:szCs w:val="22"/>
                <w:highlight w:val="white"/>
              </w:rPr>
              <w:t xml:space="preserve">нными критериями ответственного трудоустройства.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1629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1.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8.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Краткое описание предлагаемого регулирования: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14:ligatures w14:val="none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b w:val="0"/>
                <w:bCs w:val="0"/>
                <w:color w:val="000000" w:themeColor="text1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Картой действий Уполномоченного при Президенте Российской Федерации по правам ребенка М.А.Львовой-Беловой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даны рекомендации об утверждении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Стандарта ответственного трудоустройства несовершеннолетних граждан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для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работодателей, трудоустраивающих несовершеннолетних, в целях гарантированного соблюдения прав и законных интересов детей (разработан с учетом мнений детей, родительского сообщества, экспертов в сфере трудовых отношений и уполномоченных по правам ребенка в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субъектах Российской Федерации)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r>
          </w:p>
        </w:tc>
      </w:tr>
      <w:tr>
        <w:tblPrEx/>
        <w:trPr>
          <w:trHeight w:val="144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07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1.9. Контактная информация об исполнителе разработчика: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Ф.И.О.</w:t>
            </w:r>
            <w:r>
              <w:rPr>
                <w:rFonts w:ascii="Times New Roman" w:hAnsi="Times New Roman" w:cs="Times New Roman"/>
                <w:highlight w:val="white"/>
              </w:rPr>
              <w:t xml:space="preserve">: Доронина Ксения Александровна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Должность: </w:t>
            </w:r>
            <w:r>
              <w:rPr>
                <w:rFonts w:ascii="Times New Roman" w:hAnsi="Times New Roman" w:cs="Times New Roman"/>
                <w:highlight w:val="white"/>
              </w:rPr>
              <w:t xml:space="preserve">ведущий специалист-эксперт  отдела содействия занятости населения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Телефон: 35-09-5</w:t>
            </w:r>
            <w:r>
              <w:rPr>
                <w:rFonts w:ascii="Times New Roman" w:hAnsi="Times New Roman" w:cs="Times New Roman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ind w:right="850"/>
              <w:rPr>
                <w:rFonts w:ascii="Times New Roman" w:hAnsi="Times New Roman" w:cs="Times New Roman"/>
                <w:highlight w:val="white"/>
                <w:u w:val="singl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Адрес электронной почты: </w:t>
            </w:r>
            <w:r>
              <w:rPr>
                <w:rFonts w:ascii="Times New Roman" w:hAnsi="Times New Roman" w:cs="Times New Roman"/>
                <w:highlight w:val="white"/>
                <w:lang w:val="en-US"/>
              </w:rPr>
              <w:t xml:space="preserve">doronina</w:t>
            </w:r>
            <w:r>
              <w:rPr>
                <w:rFonts w:ascii="Times New Roman" w:hAnsi="Times New Roman" w:cs="Times New Roman"/>
                <w:highlight w:val="white"/>
                <w:u w:val="single"/>
                <w:lang w:val="en-US"/>
              </w:rPr>
              <w:t xml:space="preserve">@depzan.e-zab.ru</w:t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  <w:r>
              <w:rPr>
                <w:rFonts w:ascii="Times New Roman" w:hAnsi="Times New Roman" w:cs="Times New Roman"/>
                <w:highlight w:val="white"/>
                <w:u w:val="single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2. Предполагаемая степень регулирующего воздействия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проекта НПА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648"/>
        <w:gridCol w:w="4422"/>
      </w:tblGrid>
      <w:tr>
        <w:tblPrEx/>
        <w:trPr/>
        <w:tc>
          <w:tcPr>
            <w:tcW w:w="4648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2.1. Степень регулирующего воздействия проекта нормативного правового акта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422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высокая</w:t>
            </w:r>
            <w:r>
              <w:rPr>
                <w:rFonts w:ascii="Times New Roman" w:hAnsi="Times New Roman" w:cs="Times New Roman"/>
              </w:rPr>
              <w:t xml:space="preserve">/средняя/</w:t>
            </w: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  <w:t xml:space="preserve">низкая</w:t>
            </w: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u w:val="none"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907"/>
              <w:jc w:val="both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2.2. Обоснование отнесения проекта нормативного правового акта к определенной степени регулирующего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воздействия: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ind w:left="0" w:right="0" w:firstLine="0"/>
              <w:jc w:val="both"/>
              <w:spacing w:after="0" w:afterAutospacing="0"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u w:val="none"/>
              </w:rPr>
              <w:t xml:space="preserve">подпункт «в» пункта 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Правил проведения федеральными органами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исполнительной власти оценки регулирующего воздействия проектов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нормативных правовых актов и проектов решений Евразийской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экономической комиссии, утвержденных постановлением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Правительства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Российской Федерации от 17 декабря 2012 г. № 1318;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ind w:left="0" w:right="0" w:firstLine="0"/>
              <w:jc w:val="both"/>
              <w:spacing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подпункт 3 пункта 10 раздела 2 Постановление Губернатора Забайкальского края 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27 декабря .2013 № 80.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3. Детальное описание проблемы, на решение которой направлен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предлагаемый способ регулирования, оценка негативных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эффектов, возникающих в связи с наличием рассматриваемой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проблемы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3.1. Описание проблемы, на решение которой направлен предлагаемый способ регулирования, условий и факторов ее существования: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незаинтересованность работодателей в приёме на работу подростков;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 выборочный опрос подростков, осуществляющих трудовую деятельность, проведенный Уполномоченным по правам ребенка в Забайкальском крае, свидетельствует о нарушении трудовых прав несовершеннолетних. Все опрошенные 50 подростков работали без офиц</w:t>
            </w:r>
            <w:r>
              <w:rPr>
                <w:rFonts w:ascii="Times New Roman" w:hAnsi="Times New Roman" w:cs="Times New Roman"/>
                <w:highlight w:val="white"/>
              </w:rPr>
              <w:t xml:space="preserve">иального трудоустройства с нарушением норм продолжительности рабочего времени (ст.92 ТК РФ), в 11 случаях подростки допускались к работе в ночное время без соответствующей оплаты (ст.154 ТК РФ),в 39 случаях оплата труда не была произведена в полном объеме.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3.2. Негативные эффекты, возникающие в связи с наличием проблемы: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несоблюдение и нарушение работодателями трудовых прав несовершеннолетних граждан.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3.3. Перечень действующих нормативных правовых актов (их положений), устанавливающих правовое регулирование: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постановление Правительства Забайкальского края от 1 августа 2014 года № 457 «Об утверждении государственной программы Забайкальского края «Содействия занятости населения»</w:t>
            </w:r>
            <w:r>
              <w:rPr>
                <w:rFonts w:ascii="Times New Roman" w:hAnsi="Times New Roman" w:cs="Times New Roman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пункт 2 </w:t>
            </w:r>
            <w:r>
              <w:rPr>
                <w:rFonts w:ascii="Times New Roman" w:hAnsi="Times New Roman" w:cs="Times New Roman"/>
                <w:highlight w:val="white"/>
              </w:rPr>
              <w:t xml:space="preserve">часть 3 статьи 28</w:t>
            </w:r>
            <w:r>
              <w:rPr>
                <w:rFonts w:ascii="Times New Roman" w:hAnsi="Times New Roman" w:cs="Times New Roman"/>
                <w:highlight w:val="white"/>
              </w:rPr>
              <w:t xml:space="preserve"> Федерального закона от 12.12.2023 г. № 565-ФЗ  «О занятости населения в Российской Федерации»;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  <w:t xml:space="preserve">Закон Забайкальского края от 12 июля 2011 года № 536-ЗЗК «О квотировании рабочих мест для отдельных категорий несовершеннолетних граждан».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18"/>
              <w:ind w:left="0" w:firstLine="0"/>
              <w:jc w:val="both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3.4. Описание условий, при которых проблема может быть решена в целом без вмешательства со стороны государства: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Style w:val="918"/>
              <w:ind w:left="0" w:firstLine="0"/>
              <w:jc w:val="both"/>
              <w:spacing w:after="0" w:line="240" w:lineRule="auto"/>
              <w:rPr>
                <w:rFonts w:ascii="Times New Roman" w:hAnsi="Times New Roman" w:cs="Times New Roman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Трудовое законодательство Российской Федерации уже предусматривает меры защиты прав несовершеннолетних работников. Введение нового Стандарта может создать дублирующую систему требований, что снизит эффективность </w:t>
            </w:r>
            <w:r>
              <w:rPr>
                <w:rFonts w:ascii="Times New Roman" w:hAnsi="Times New Roman" w:cs="Times New Roman"/>
                <w:highlight w:val="white"/>
              </w:rPr>
              <w:t xml:space="preserve">правового регулирования и создаст путаницу </w:t>
            </w:r>
            <w:r>
              <w:rPr>
                <w:rFonts w:ascii="Times New Roman" w:hAnsi="Times New Roman" w:cs="Times New Roman"/>
                <w:highlight w:val="white"/>
              </w:rPr>
              <w:t xml:space="preserve">среди работодателей и работников. Кроме этого, </w:t>
            </w:r>
            <w:r>
              <w:rPr>
                <w:rFonts w:ascii="Times New Roman" w:hAnsi="Times New Roman" w:cs="Times New Roman"/>
                <w:highlight w:val="white"/>
              </w:rPr>
              <w:t xml:space="preserve">содействие в трудоустройстве несовершеннолетних граждан органами службы занятости населения Забайкальского края осуществляется по двум направлениям: </w:t>
            </w:r>
            <w:r>
              <w:rPr>
                <w:rFonts w:ascii="Times New Roman" w:hAnsi="Times New Roman" w:cs="Times New Roman"/>
                <w:highlight w:val="white"/>
              </w:rPr>
              <w:t xml:space="preserve">в рамках программы Забайкальского края «Содействие занятости населения»,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утвержденной постановлением Правительства Забайкальского края от 1 августа 2014 года № 457; </w:t>
            </w:r>
            <w:r>
              <w:rPr>
                <w:rFonts w:ascii="Times New Roman" w:hAnsi="Times New Roman" w:cs="Times New Roman"/>
                <w:highlight w:val="white"/>
              </w:rPr>
              <w:t xml:space="preserve">в рамках реализации Закона Забайкальского края от 12 июля 2011 года № 536-ЗЗК «О квотировании рабочих мест для отдельных категорий несовершеннолетних граждан». Ежегодно </w:t>
            </w:r>
            <w:r>
              <w:rPr>
                <w:rFonts w:ascii="Times New Roman" w:hAnsi="Times New Roman" w:cs="Times New Roman"/>
                <w:highlight w:val="white"/>
              </w:rPr>
              <w:t xml:space="preserve">на временные работы при содействии органов службы занятос</w:t>
            </w:r>
            <w:r>
              <w:rPr>
                <w:rFonts w:ascii="Times New Roman" w:hAnsi="Times New Roman" w:cs="Times New Roman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highlight w:val="white"/>
              </w:rPr>
              <w:t xml:space="preserve">и населения трудоустраивается более 4 000  </w:t>
            </w:r>
            <w:r>
              <w:rPr>
                <w:rFonts w:ascii="Times New Roman" w:hAnsi="Times New Roman" w:cs="Times New Roman"/>
                <w:highlight w:val="white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highlight w:val="white"/>
              </w:rPr>
              <w:t xml:space="preserve">гражда</w:t>
            </w:r>
            <w:r>
              <w:rPr>
                <w:rFonts w:ascii="Times New Roman" w:hAnsi="Times New Roman" w:cs="Times New Roman"/>
                <w:highlight w:val="white"/>
              </w:rPr>
              <w:t xml:space="preserve">н.</w:t>
            </w:r>
            <w:r>
              <w:rPr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  <w14:ligatures w14:val="non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3.5. Источники данных: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анализ законодательной базы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3.6. Количественные характеристики и иная информация о проблеме:</w:t>
            </w:r>
            <w:r>
              <w:rPr>
                <w:rFonts w:ascii="Times New Roman" w:hAnsi="Times New Roman" w:cs="Times New Roman"/>
                <w:highlight w:val="white"/>
              </w:rPr>
              <w:t xml:space="preserve"> отсутствуют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07"/>
        <w:jc w:val="center"/>
        <w:rPr>
          <w:rFonts w:ascii="Times New Roman" w:hAnsi="Times New Roman" w:cs="Times New Roman"/>
          <w:highlight w:val="white"/>
        </w:rPr>
        <w:outlineLvl w:val="2"/>
      </w:pPr>
      <w:r>
        <w:rPr>
          <w:rFonts w:ascii="Times New Roman" w:hAnsi="Times New Roman" w:cs="Times New Roman"/>
          <w:highlight w:val="white"/>
        </w:rPr>
        <w:t xml:space="preserve">4. Анализ опыта субъектов Российской Федерации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07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 xml:space="preserve">в соответствующих сферах деятельности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p>
      <w:pPr>
        <w:pStyle w:val="907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ind w:left="0" w:right="0" w:firstLine="0"/>
              <w:jc w:val="both"/>
              <w:spacing w:line="240" w:lineRule="auto"/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highlight w:val="white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.1. Опыт субъектов Российской Федерации в соответствующих сферах деятельности: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опыт субъектов Российской Федерации не рассматривался в рамках принятия проекта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постановления.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4.2. Источники данных: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отсутствуют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5. Цели предлагаемого регулирования и их соответствие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принципам правового регулирования, программным документам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Правительства Российской Федерации, Правительства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Забайкальского края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11"/>
        <w:gridCol w:w="3011"/>
        <w:gridCol w:w="3013"/>
      </w:tblGrid>
      <w:tr>
        <w:tblPrEx/>
        <w:trPr/>
        <w:tc>
          <w:tcPr>
            <w:tcW w:w="301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5.1. Цели предлагаемого правового 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1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5.2. Установленные сроки достижения целей предлагаемого правового 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13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5.3. Ключевые показатели достижения целей предлагаемого правового регулирования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01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Соблюдение трудовых прав и законных интересов несовершеннолетних граждан в возрасте от 14 до 18 лет, обеспечение условий работы, соответствующих требованиям охраны труда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01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До следующего внесения изменений в действующее законодательство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3013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1)Информированность(работодателем размещена вакансия на Единой цифровой платформе в сфере занятости и трудовых отношений «Работа в России» с отметкой «для временного трудоустройства несовершеннолетних граждан». Описание вакансии содержит краткий перечень</w:t>
            </w:r>
            <w:r>
              <w:rPr>
                <w:rFonts w:ascii="Times New Roman" w:hAnsi="Times New Roman" w:cs="Times New Roman"/>
              </w:rPr>
              <w:t xml:space="preserve"> основных должностных обязанностей, сведения о правах и гарантиях, предусмотренных трудовым договором за исполнение трудовых обязанностей. Контактным лицом работодателя по вопросам трудоустройства оказывается консультационное сопровождение несовершеннолетн</w:t>
            </w:r>
            <w:r>
              <w:rPr>
                <w:rFonts w:ascii="Times New Roman" w:hAnsi="Times New Roman" w:cs="Times New Roman"/>
              </w:rPr>
              <w:t xml:space="preserve">их соискателей и их родителей (законных представителей) по вопросам, связанным с предстоящим трудоустройством);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 2)Законность (с несовершеннолетним работником с письменного согласия родителей (законных представителей) заключен трудовой договор. Установлена </w:t>
            </w:r>
            <w:r>
              <w:rPr>
                <w:rFonts w:ascii="Times New Roman" w:hAnsi="Times New Roman" w:cs="Times New Roman"/>
              </w:rPr>
              <w:t xml:space="preserve">сокращенная продолжительность рабочего времени. Осуществляется своевременная выплата заработной платы, и иных взносов в соответствующие бюджеты);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3)Соблюдение правил безопасности и норм морали (работодателем соблюдаются требования охраны труда. Проводится </w:t>
            </w:r>
            <w:r>
              <w:rPr>
                <w:rFonts w:ascii="Times New Roman" w:hAnsi="Times New Roman" w:cs="Times New Roman"/>
              </w:rPr>
              <w:t xml:space="preserve">инструктаж на рабочем месте. Приняты меры по защите ребенка от физического и психологического насилия, негативного влияния на его нравственное развитие и ценностные ориентиры. При необходимости приняты меры по обеспечению работника средствами индивидуально</w:t>
            </w:r>
            <w:r>
              <w:rPr>
                <w:rFonts w:ascii="Times New Roman" w:hAnsi="Times New Roman" w:cs="Times New Roman"/>
              </w:rPr>
              <w:t xml:space="preserve">й защиты, спецодежды);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 4)Баланс между учебой и работой (работодателем утвержден график работы для несовершеннолетних работников с учетом расписания учебных занятий, внеучебной нагрузки, продолжительности каникул, сезонности выполняемых работ);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5)Наставнич</w:t>
            </w:r>
            <w:r>
              <w:rPr>
                <w:rFonts w:ascii="Times New Roman" w:hAnsi="Times New Roman" w:cs="Times New Roman"/>
              </w:rPr>
              <w:t xml:space="preserve">ество (работодателем назначен наставник (куратор) для несовершеннолетнего работника).</w:t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gridSpan w:val="3"/>
            <w:tcW w:w="9035" w:type="dxa"/>
            <w:textDirection w:val="lrTb"/>
            <w:noWrap w:val="false"/>
          </w:tcPr>
          <w:p>
            <w:pPr>
              <w:pStyle w:val="907"/>
              <w:jc w:val="both"/>
              <w:rPr>
                <w:b w:val="0"/>
                <w:bCs w:val="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5.4. Обоснование соответствия целей предлагаемого правового регулирования принципам правового регулирования, программным документам:</w:t>
            </w:r>
            <w:r>
              <w:rPr>
                <w:b w:val="0"/>
                <w:bCs w:val="0"/>
                <w:highlight w:val="white"/>
              </w:rPr>
              <w:t xml:space="preserve"> 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b w:val="0"/>
                <w:bCs w:val="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пункт 2 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часть 3 статьи 28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 Федерального закона от 12.12.2023 г. №565-ФЗ  «О занятости населения в Российской Федерации»;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  <w14:ligatures w14:val="non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b w:val="0"/>
                <w:bCs w:val="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Закон Забайкальского края от 12 июля 2011 года № 536-ЗЗК «О квотировании рабочих мест для отдельных категорий несовершеннолетних граждан»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;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государственн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ая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 программ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 Забайкальского края «Содействие занятости населения»,</w:t>
            </w:r>
            <w:r>
              <w:rPr>
                <w:b w:val="0"/>
                <w:bCs w:val="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утвержденн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ая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 постановлением Правительства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Забайкальского края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от 1 августа 2014 года №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457.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</w:p>
        </w:tc>
      </w:tr>
      <w:tr>
        <w:tblPrEx/>
        <w:trPr>
          <w:trHeight w:val="2588"/>
        </w:trPr>
        <w:tc>
          <w:tcPr>
            <w:gridSpan w:val="3"/>
            <w:tcW w:w="9035" w:type="dxa"/>
            <w:textDirection w:val="lrTb"/>
            <w:noWrap w:val="false"/>
          </w:tcPr>
          <w:p>
            <w:pPr>
              <w:pStyle w:val="913"/>
              <w:jc w:val="both"/>
              <w:rPr>
                <w:rFonts w:ascii="Times New Roman" w:hAnsi="Times New Roman" w:cs="Times New Roman"/>
                <w:b w:val="0"/>
                <w:bCs w:val="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5.5. Источники информации для расчета ключевых показателей достижения целей предлагаемого правового регулирования: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b w:val="0"/>
                <w:bCs w:val="0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государственн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ая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 программ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а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 Забайкальского края «Содействие занятости населения»,</w:t>
            </w:r>
            <w:r>
              <w:rPr>
                <w:b w:val="0"/>
                <w:bCs w:val="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утвержденн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ая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 постановлением Правительства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Забайкальского края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от 1 августа 2014 года №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 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457;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b w:val="0"/>
                <w:bCs w:val="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пункт 2 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часть 3 статьи 28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 Федерального закона от 12.12.2023 г. № 565-ФЗ  «О занятости населения в Российской Федерации»;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  <w14:ligatures w14:val="none"/>
              </w:rPr>
            </w:r>
          </w:p>
          <w:p>
            <w:pPr>
              <w:pStyle w:val="913"/>
              <w:jc w:val="both"/>
              <w:rPr>
                <w:rFonts w:ascii="Times New Roman" w:hAnsi="Times New Roman" w:cs="Times New Roman"/>
                <w:b w:val="0"/>
                <w:bCs w:val="0"/>
                <w:highlight w:val="white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р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еко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мендаци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и 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</w:rPr>
              <w:t xml:space="preserve">в рамках выполнения Карты действий Уполномоченного при Президенте Российской Федерации по правам ребенка М.А.Львовой-Беловой.</w:t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white"/>
                <w14:ligatures w14:val="none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6. Описание содержания предлагаемого правового регулирования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альтернативных вариантов решения проблемы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6.1. Описание предлагаемого способа решения проблемы и преодоления связанных с ней негативных эффектов:</w:t>
            </w:r>
            <w:r>
              <w:rPr>
                <w:rFonts w:ascii="Times New Roman" w:hAnsi="Times New Roman" w:cs="Times New Roman"/>
              </w:rPr>
              <w:t xml:space="preserve"> утверждение представленного проекта постановления Правительства Забайкальского края Стандарта, предусматривающего с</w:t>
            </w:r>
            <w:r>
              <w:rPr>
                <w:rFonts w:ascii="Times New Roman" w:hAnsi="Times New Roman" w:cs="Times New Roman"/>
              </w:rPr>
              <w:t xml:space="preserve">облюдение трудовых прав и законных интересов несовершеннолетних граждан в возрасте от 14 до 18 лет, обеспечение условий работы, соответствующих требованиям охраны труда.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6.2. Описание альтернативных вариантов решения проблемы (с указанием того, каким образом каждым из способов могла бы быть решена проблема):</w:t>
            </w:r>
            <w:r>
              <w:rPr>
                <w:rFonts w:ascii="Times New Roman" w:hAnsi="Times New Roman" w:cs="Times New Roman"/>
              </w:rPr>
              <w:t xml:space="preserve"> отсутствую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6.3. Обоснование выбора предлагаемого способа решения проблемы: 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left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6.4. Описание выявленных последствий, к которым приведут предлагаемые варианты решения проблемы, информация об их эффективности и результативности (включая затраты и выгоды):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создание реестра ответственных работодателей в соответствии с установленными критериями ответственного трудоустройства, в который возможно попасть при формировании оценки работодателя, самостоятельной проверке (аудите) и при положительном решении экспертной </w:t>
            </w:r>
            <w:r>
              <w:rPr>
                <w:rFonts w:ascii="Times New Roman" w:hAnsi="Times New Roman" w:cs="Times New Roman"/>
              </w:rPr>
              <w:t xml:space="preserve">группы;</w:t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соблюдение работодателями трудовых прав несовершеннолетних.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/>
      <w:bookmarkStart w:id="0" w:name="P375"/>
      <w:r/>
      <w:bookmarkEnd w:id="0"/>
      <w:r>
        <w:rPr>
          <w:rFonts w:ascii="Times New Roman" w:hAnsi="Times New Roman" w:cs="Times New Roman"/>
        </w:rPr>
        <w:t xml:space="preserve">7. Основные группы субъектов предпринимательской и иной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экономической деятельности, иные заинтересованные лица,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интересы которых будут затронуты предлагаемым правовым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регулированием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6211"/>
        <w:gridCol w:w="2835"/>
      </w:tblGrid>
      <w:tr>
        <w:tblPrEx/>
        <w:trPr/>
        <w:tc>
          <w:tcPr>
            <w:tcW w:w="621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7.1</w:t>
            </w:r>
            <w:r>
              <w:rPr>
                <w:rFonts w:ascii="Times New Roman" w:hAnsi="Times New Roman" w:cs="Times New Roman"/>
              </w:rPr>
              <w:t xml:space="preserve">. Группа участников отношений: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1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r>
          </w:p>
          <w:p>
            <w:pPr>
              <w:pStyle w:val="90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7.2. Оценка количества участников отношений: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6211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7.3. Описание иных групп участников отношений: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9046" w:type="dxa"/>
            <w:textDirection w:val="lrTb"/>
            <w:noWrap w:val="false"/>
          </w:tcPr>
          <w:p>
            <w:pPr>
              <w:pStyle w:val="907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7.4. Источники данных: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8. Оценка соответствующих расходов бюджета Забайкальского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края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022"/>
        <w:gridCol w:w="16"/>
        <w:gridCol w:w="3006"/>
        <w:gridCol w:w="3023"/>
      </w:tblGrid>
      <w:tr>
        <w:tblPrEx/>
        <w:trPr/>
        <w:tc>
          <w:tcPr>
            <w:tcW w:w="3022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8.1. Наименование новой или изменяемой функции, полномочия, обязанности или права, вводимых предлагаемым регулированием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W w:w="3022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8.2. Описание видов расходов бюджета Забайкальского края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8.3. Количественная оценка расходов и возможных поступлений, рублей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746"/>
        </w:trPr>
        <w:tc>
          <w:tcPr>
            <w:gridSpan w:val="4"/>
            <w:tcW w:w="9067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Министер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ство труда и социальной защиты населения Забайкальского края</w:t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none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о края </w:t>
            </w:r>
            <w:r>
              <w:rPr>
                <w:rFonts w:ascii="Times New Roman" w:hAnsi="Times New Roman" w:eastAsia="Times New Roman" w:cs="Times New Roman"/>
                <w:color w:val="1a1a1a"/>
                <w:sz w:val="22"/>
                <w:szCs w:val="22"/>
                <w:highlight w:val="white"/>
              </w:rPr>
              <w:t xml:space="preserve">Министерство финансов Забайкальского края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38" w:type="dxa"/>
            <w:vMerge w:val="restart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функции (полномочия, обязанности или права)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Единовременные расходы в 2025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38" w:type="dxa"/>
            <w:vMerge w:val="continue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Периодические расходы за 2025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2"/>
            <w:tcW w:w="3038" w:type="dxa"/>
            <w:vMerge w:val="continue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6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Возможные поступления за 2025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6044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единовременные расходы: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6044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периодические расходы за период 2025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6044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возможные поступления за 2025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23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9067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8.4. Иные сведения о расходах (возможных поступлениях) бюджета Забайкальского края: 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9067" w:type="dxa"/>
            <w:textDirection w:val="lrTb"/>
            <w:noWrap w:val="false"/>
          </w:tcPr>
          <w:p>
            <w:pPr>
              <w:pStyle w:val="913"/>
              <w:jc w:val="both"/>
              <w:rPr>
                <w:highlight w:val="none"/>
              </w:rPr>
            </w:pPr>
            <w:r>
              <w:rPr>
                <w:rFonts w:ascii="Times New Roman" w:hAnsi="Times New Roman" w:cs="Times New Roman"/>
              </w:rPr>
              <w:t xml:space="preserve">8.5. Источники данных:</w:t>
            </w:r>
            <w:r>
              <w:t xml:space="preserve"> отсутствует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9. Новые обязанности, ответственность или ограничения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субъектов предпринимательской и иной экономической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деятельности либо изменение содержания существующих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обязанностей, ответственности и ограничений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686"/>
        <w:gridCol w:w="2693"/>
        <w:gridCol w:w="2748"/>
      </w:tblGrid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9.1. Группа участников отношений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9.2. Описание новых обязанностей, ответственности и ограничений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748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9.3. Описание отменяемых обязанностей, ответственности, запретов или ограничений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686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r/>
            <w:r/>
          </w:p>
        </w:tc>
        <w:tc>
          <w:tcPr>
            <w:tcW w:w="2748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r/>
            <w:r/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10. Оценка расходов и доходов субъектов предпринимательской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иной экономической деятельности, связанных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необходимостью соблюдения установленных обязанностей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ответственности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3181"/>
        <w:gridCol w:w="3003"/>
        <w:gridCol w:w="3005"/>
      </w:tblGrid>
      <w:tr>
        <w:tblPrEx/>
        <w:trPr/>
        <w:tc>
          <w:tcPr>
            <w:tcW w:w="3181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10.1. Группа участников отношений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10.2. Описание новых или изменения содержания существующих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обязанностей, ограничений и ответственности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10.3. Описание и оценка видов расходов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3181" w:type="dxa"/>
            <w:textDirection w:val="lrTb"/>
            <w:noWrap w:val="false"/>
          </w:tcPr>
          <w:p>
            <w:pPr>
              <w:pStyle w:val="90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3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005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3"/>
            <w:tcW w:w="9189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10.4. Источники данных:</w:t>
            </w:r>
            <w:r>
              <w:rPr>
                <w:rFonts w:ascii="Times New Roman" w:hAnsi="Times New Roman" w:cs="Times New Roman"/>
              </w:rPr>
              <w:t xml:space="preserve"> отсутствую</w:t>
            </w:r>
            <w:r>
              <w:rPr>
                <w:rFonts w:ascii="Times New Roman" w:hAnsi="Times New Roman" w:cs="Times New Roman"/>
              </w:rPr>
              <w:t xml:space="preserve">т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11. Риски решения проблемы предложенным способом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регулирования и риски негативных последствий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11.1. Риски решения проблемы предложенным способом и риски негативных последствий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11.2. Оценка вероятности наступления рисков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433"/>
        </w:trPr>
        <w:tc>
          <w:tcPr>
            <w:tcW w:w="4535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 1. Повышенная административная нагрузка.  Работодатели уже несут значительную нагрузку в связи с соблюдением трудового законодате</w:t>
            </w:r>
            <w:r>
              <w:rPr>
                <w:rFonts w:ascii="Times New Roman" w:hAnsi="Times New Roman" w:cs="Times New Roman"/>
              </w:rPr>
              <w:t xml:space="preserve">льства, включая нормы охраны труда, техники безопасности и социальных гарантий. Дополнительный Стандарт может привести к усложнению процесса приема на работу несовершеннолетних;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 2. Негативное влияние на рынок труда.  Стандарты могут отпугнуть работодателей</w:t>
            </w:r>
            <w:r>
              <w:rPr>
                <w:rFonts w:ascii="Times New Roman" w:hAnsi="Times New Roman" w:cs="Times New Roman"/>
              </w:rPr>
              <w:t xml:space="preserve"> от найма несовершеннолетних, что приведет к сокращению возможностей для молодежи получить первый опыт работы и профессиональные навыки. Это может негативно сказаться на развитии молодых кадров и замедлить процесс интеграции молодежи в трудовую деятельност</w:t>
            </w:r>
            <w:r>
              <w:rPr>
                <w:rFonts w:ascii="Times New Roman" w:hAnsi="Times New Roman" w:cs="Times New Roman"/>
              </w:rPr>
              <w:t xml:space="preserve">ь;  </w:t>
            </w:r>
            <w:r>
              <w:rPr>
                <w:rFonts w:ascii="Times New Roman" w:hAnsi="Times New Roman" w:cs="Times New Roman"/>
                <w14:ligatures w14:val="none"/>
              </w:rPr>
            </w:r>
            <w:r>
              <w:rPr>
                <w:rFonts w:ascii="Times New Roman" w:hAnsi="Times New Roman" w:cs="Times New Roman"/>
                <w14:ligatures w14:val="none"/>
              </w:rPr>
            </w:r>
          </w:p>
          <w:p>
            <w:pPr>
              <w:pStyle w:val="907"/>
              <w:jc w:val="both"/>
              <w:rPr>
                <w:rFonts w:ascii="Times New Roman" w:hAnsi="Times New Roman" w:cs="Times New Roman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 xml:space="preserve">3. Дублирование существующих норм.</w:t>
            </w:r>
            <w:r>
              <w:rPr>
                <w:rFonts w:ascii="Times New Roman" w:hAnsi="Times New Roman" w:cs="Times New Roman"/>
                <w14:ligatures w14:val="none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высокая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</w:tc>
      </w:tr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11.3. Источники данных: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отсутствуют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12. Предполагаемая дата вступления в силу проекта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нормативного правового акта, необходимость установления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переходных положений (переходного периода)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>
        <w:tblPrEx/>
        <w:trPr/>
        <w:tc>
          <w:tcPr>
            <w:gridSpan w:val="2"/>
            <w:tcW w:w="9070" w:type="dxa"/>
            <w:textDirection w:val="lrTb"/>
            <w:noWrap w:val="false"/>
          </w:tcPr>
          <w:p>
            <w:pPr>
              <w:pStyle w:val="90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12.1. Предполагаемая дата вступления в силу проекта нормативного правового акта: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12.2. Необходимость установления переходных положений (переходного периода):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u w:val="none"/>
              </w:rPr>
              <w:t xml:space="preserve">нет</w:t>
            </w:r>
            <w:r>
              <w:rPr>
                <w:rFonts w:ascii="Times New Roman" w:hAnsi="Times New Roman" w:cs="Times New Roman"/>
                <w:u w:val="none"/>
              </w:rPr>
            </w:r>
            <w:r>
              <w:rPr>
                <w:rFonts w:ascii="Times New Roman" w:hAnsi="Times New Roman" w:cs="Times New Roman"/>
                <w:u w:val="none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12.3. Срок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0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позднее мая 2026 года, когда у несовершеннолетних граждан начинается период летних каникул (на летний период приходится наибольший процент трудоустройства)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jc w:val="center"/>
        <w:rPr>
          <w:rFonts w:ascii="Times New Roman" w:hAnsi="Times New Roman" w:cs="Times New Roman"/>
        </w:rPr>
        <w:outlineLvl w:val="2"/>
      </w:pPr>
      <w:r>
        <w:rPr>
          <w:rFonts w:ascii="Times New Roman" w:hAnsi="Times New Roman" w:cs="Times New Roman"/>
        </w:rPr>
        <w:t xml:space="preserve">13. Иные сведения (при наличии информации):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9070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070" w:type="dxa"/>
            <w:textDirection w:val="lrTb"/>
            <w:noWrap w:val="false"/>
          </w:tcPr>
          <w:p>
            <w:pPr>
              <w:pStyle w:val="907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  <w:u w:val="none"/>
              </w:rPr>
              <w:t xml:space="preserve">отсутствуют</w:t>
            </w:r>
            <w:r>
              <w:rPr>
                <w:rFonts w:ascii="Times New Roman" w:hAnsi="Times New Roman" w:cs="Times New Roman"/>
                <w:u w:val="none"/>
              </w:rPr>
            </w:r>
            <w:r>
              <w:rPr>
                <w:rFonts w:ascii="Times New Roman" w:hAnsi="Times New Roman" w:cs="Times New Roman"/>
                <w:u w:val="none"/>
              </w:rPr>
            </w:r>
          </w:p>
        </w:tc>
      </w:tr>
    </w:tbl>
    <w:p>
      <w:pPr>
        <w:pStyle w:val="90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--------------------------------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ind w:firstLine="540"/>
        <w:jc w:val="both"/>
        <w:spacing w:before="220"/>
        <w:rPr>
          <w:rFonts w:ascii="Times New Roman" w:hAnsi="Times New Roman" w:cs="Times New Roman"/>
        </w:rPr>
      </w:pPr>
      <w:r/>
      <w:bookmarkStart w:id="2" w:name="P485"/>
      <w:r/>
      <w:bookmarkEnd w:id="2"/>
      <w:r>
        <w:rPr>
          <w:rFonts w:ascii="Times New Roman" w:hAnsi="Times New Roman" w:cs="Times New Roman"/>
        </w:rPr>
        <w:t xml:space="preserve">&lt;*&gt; Указываются в случае проведения разработчиком публичных обсуждений проекта НПА.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ind w:firstLine="540"/>
        <w:jc w:val="both"/>
        <w:spacing w:before="220"/>
        <w:rPr>
          <w:rFonts w:ascii="Times New Roman" w:hAnsi="Times New Roman" w:cs="Times New Roman"/>
        </w:rPr>
      </w:pPr>
      <w:r/>
      <w:bookmarkStart w:id="3" w:name="P486"/>
      <w:r/>
      <w:bookmarkEnd w:id="3"/>
      <w:r>
        <w:rPr>
          <w:rFonts w:ascii="Times New Roman" w:hAnsi="Times New Roman" w:cs="Times New Roman"/>
        </w:rPr>
        <w:t xml:space="preserve">&lt;**&gt; Указываются при наличии.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907"/>
        <w:ind w:firstLine="540"/>
        <w:jc w:val="both"/>
        <w:spacing w:before="220"/>
        <w:rPr>
          <w:rFonts w:ascii="Times New Roman" w:hAnsi="Times New Roman" w:cs="Times New Roman"/>
        </w:rPr>
      </w:pPr>
      <w:r/>
      <w:bookmarkStart w:id="4" w:name="P487"/>
      <w:r/>
      <w:bookmarkEnd w:id="4"/>
      <w:r>
        <w:rPr>
          <w:rFonts w:ascii="Times New Roman" w:hAnsi="Times New Roman" w:cs="Times New Roman"/>
        </w:rPr>
        <w:t xml:space="preserve">&lt;***&gt; Указывается в соответствии с </w:t>
      </w:r>
      <w:hyperlink r:id="rId15" w:tooltip="consultantplus://offline/ref=86248B9F041F8CE9AD837808439F71DFF5F3B9F720925835B02F3DD3CA4F0B332E341153245040973BD31D9EEBFF6FBB54BD0EB7B63A1FE086C404905FdFt1A" w:history="1">
        <w:r>
          <w:rPr>
            <w:rFonts w:ascii="Times New Roman" w:hAnsi="Times New Roman" w:cs="Times New Roman"/>
          </w:rPr>
          <w:t xml:space="preserve">пунктом 10</w:t>
        </w:r>
      </w:hyperlink>
      <w:r>
        <w:rPr>
          <w:rFonts w:ascii="Times New Roman" w:hAnsi="Times New Roman" w:cs="Times New Roman"/>
        </w:rPr>
        <w:t xml:space="preserve"> Порядка проведения оценки регулирующего воздействия проектов нормативных правовых актов Забайкальского края, экспертизы и оценки фактическ</w:t>
      </w:r>
      <w:r>
        <w:rPr>
          <w:rFonts w:ascii="Times New Roman" w:hAnsi="Times New Roman" w:cs="Times New Roman"/>
        </w:rPr>
        <w:t xml:space="preserve">ого воздействия нормативных правовых актов Забайкальского края, затрагивающих вопросы осуществления предпринимательской, инвестиционной и иной экономической деятельности, утвержденного постановлением Губернатора Забайкальского края от 27 декабря 2013 года </w:t>
      </w:r>
      <w:r>
        <w:rPr>
          <w:rFonts w:ascii="Times New Roman" w:hAnsi="Times New Roman" w:cs="Times New Roman"/>
        </w:rPr>
        <w:t xml:space="preserve">№</w:t>
      </w:r>
      <w:r>
        <w:rPr>
          <w:rFonts w:ascii="Times New Roman" w:hAnsi="Times New Roman" w:cs="Times New Roman"/>
        </w:rPr>
        <w:t xml:space="preserve"> 80.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449864169"/>
      <w:docPartObj>
        <w:docPartGallery w:val="Page Numbers (Top of Page)"/>
        <w:docPartUnique w:val="true"/>
      </w:docPartObj>
      <w:rPr/>
    </w:sdtPr>
    <w:sdtContent>
      <w:p>
        <w:pPr>
          <w:pStyle w:val="90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4</w:t>
        </w:r>
        <w:r>
          <w:fldChar w:fldCharType="end"/>
        </w:r>
        <w:r/>
      </w:p>
    </w:sdtContent>
  </w:sdt>
  <w:p>
    <w:pPr>
      <w:pStyle w:val="90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>
    <w:name w:val="Heading 1"/>
    <w:basedOn w:val="903"/>
    <w:next w:val="903"/>
    <w:link w:val="7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9">
    <w:name w:val="Heading 1 Char"/>
    <w:basedOn w:val="904"/>
    <w:link w:val="728"/>
    <w:uiPriority w:val="9"/>
    <w:rPr>
      <w:rFonts w:ascii="Arial" w:hAnsi="Arial" w:eastAsia="Arial" w:cs="Arial"/>
      <w:sz w:val="40"/>
      <w:szCs w:val="40"/>
    </w:rPr>
  </w:style>
  <w:style w:type="paragraph" w:styleId="730">
    <w:name w:val="Heading 2"/>
    <w:basedOn w:val="903"/>
    <w:next w:val="903"/>
    <w:link w:val="73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1">
    <w:name w:val="Heading 2 Char"/>
    <w:basedOn w:val="904"/>
    <w:link w:val="730"/>
    <w:uiPriority w:val="9"/>
    <w:rPr>
      <w:rFonts w:ascii="Arial" w:hAnsi="Arial" w:eastAsia="Arial" w:cs="Arial"/>
      <w:sz w:val="34"/>
    </w:rPr>
  </w:style>
  <w:style w:type="paragraph" w:styleId="732">
    <w:name w:val="Heading 3"/>
    <w:basedOn w:val="903"/>
    <w:next w:val="903"/>
    <w:link w:val="73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3">
    <w:name w:val="Heading 3 Char"/>
    <w:basedOn w:val="904"/>
    <w:link w:val="732"/>
    <w:uiPriority w:val="9"/>
    <w:rPr>
      <w:rFonts w:ascii="Arial" w:hAnsi="Arial" w:eastAsia="Arial" w:cs="Arial"/>
      <w:sz w:val="30"/>
      <w:szCs w:val="30"/>
    </w:rPr>
  </w:style>
  <w:style w:type="paragraph" w:styleId="734">
    <w:name w:val="Heading 4"/>
    <w:basedOn w:val="903"/>
    <w:next w:val="903"/>
    <w:link w:val="73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5">
    <w:name w:val="Heading 4 Char"/>
    <w:basedOn w:val="904"/>
    <w:link w:val="734"/>
    <w:uiPriority w:val="9"/>
    <w:rPr>
      <w:rFonts w:ascii="Arial" w:hAnsi="Arial" w:eastAsia="Arial" w:cs="Arial"/>
      <w:b/>
      <w:bCs/>
      <w:sz w:val="26"/>
      <w:szCs w:val="26"/>
    </w:rPr>
  </w:style>
  <w:style w:type="paragraph" w:styleId="736">
    <w:name w:val="Heading 5"/>
    <w:basedOn w:val="903"/>
    <w:next w:val="903"/>
    <w:link w:val="73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7">
    <w:name w:val="Heading 5 Char"/>
    <w:basedOn w:val="904"/>
    <w:link w:val="736"/>
    <w:uiPriority w:val="9"/>
    <w:rPr>
      <w:rFonts w:ascii="Arial" w:hAnsi="Arial" w:eastAsia="Arial" w:cs="Arial"/>
      <w:b/>
      <w:bCs/>
      <w:sz w:val="24"/>
      <w:szCs w:val="24"/>
    </w:rPr>
  </w:style>
  <w:style w:type="paragraph" w:styleId="738">
    <w:name w:val="Heading 6"/>
    <w:basedOn w:val="903"/>
    <w:next w:val="903"/>
    <w:link w:val="73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9">
    <w:name w:val="Heading 6 Char"/>
    <w:basedOn w:val="904"/>
    <w:link w:val="738"/>
    <w:uiPriority w:val="9"/>
    <w:rPr>
      <w:rFonts w:ascii="Arial" w:hAnsi="Arial" w:eastAsia="Arial" w:cs="Arial"/>
      <w:b/>
      <w:bCs/>
      <w:sz w:val="22"/>
      <w:szCs w:val="22"/>
    </w:rPr>
  </w:style>
  <w:style w:type="paragraph" w:styleId="740">
    <w:name w:val="Heading 7"/>
    <w:basedOn w:val="903"/>
    <w:next w:val="903"/>
    <w:link w:val="74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1">
    <w:name w:val="Heading 7 Char"/>
    <w:basedOn w:val="904"/>
    <w:link w:val="74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2">
    <w:name w:val="Heading 8"/>
    <w:basedOn w:val="903"/>
    <w:next w:val="903"/>
    <w:link w:val="74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3">
    <w:name w:val="Heading 8 Char"/>
    <w:basedOn w:val="904"/>
    <w:link w:val="742"/>
    <w:uiPriority w:val="9"/>
    <w:rPr>
      <w:rFonts w:ascii="Arial" w:hAnsi="Arial" w:eastAsia="Arial" w:cs="Arial"/>
      <w:i/>
      <w:iCs/>
      <w:sz w:val="22"/>
      <w:szCs w:val="22"/>
    </w:rPr>
  </w:style>
  <w:style w:type="paragraph" w:styleId="744">
    <w:name w:val="Heading 9"/>
    <w:basedOn w:val="903"/>
    <w:next w:val="903"/>
    <w:link w:val="7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>
    <w:name w:val="Heading 9 Char"/>
    <w:basedOn w:val="904"/>
    <w:link w:val="744"/>
    <w:uiPriority w:val="9"/>
    <w:rPr>
      <w:rFonts w:ascii="Arial" w:hAnsi="Arial" w:eastAsia="Arial" w:cs="Arial"/>
      <w:i/>
      <w:iCs/>
      <w:sz w:val="21"/>
      <w:szCs w:val="21"/>
    </w:rPr>
  </w:style>
  <w:style w:type="paragraph" w:styleId="746">
    <w:name w:val="List Paragraph"/>
    <w:basedOn w:val="903"/>
    <w:uiPriority w:val="34"/>
    <w:qFormat/>
    <w:pPr>
      <w:contextualSpacing/>
      <w:ind w:left="720"/>
    </w:pPr>
  </w:style>
  <w:style w:type="paragraph" w:styleId="747">
    <w:name w:val="No Spacing"/>
    <w:uiPriority w:val="1"/>
    <w:qFormat/>
    <w:pPr>
      <w:spacing w:before="0" w:after="0" w:line="240" w:lineRule="auto"/>
    </w:pPr>
  </w:style>
  <w:style w:type="paragraph" w:styleId="748">
    <w:name w:val="Title"/>
    <w:basedOn w:val="903"/>
    <w:next w:val="903"/>
    <w:link w:val="74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9">
    <w:name w:val="Title Char"/>
    <w:basedOn w:val="904"/>
    <w:link w:val="748"/>
    <w:uiPriority w:val="10"/>
    <w:rPr>
      <w:sz w:val="48"/>
      <w:szCs w:val="48"/>
    </w:rPr>
  </w:style>
  <w:style w:type="paragraph" w:styleId="750">
    <w:name w:val="Subtitle"/>
    <w:basedOn w:val="903"/>
    <w:next w:val="903"/>
    <w:link w:val="751"/>
    <w:uiPriority w:val="11"/>
    <w:qFormat/>
    <w:pPr>
      <w:spacing w:before="200" w:after="200"/>
    </w:pPr>
    <w:rPr>
      <w:sz w:val="24"/>
      <w:szCs w:val="24"/>
    </w:rPr>
  </w:style>
  <w:style w:type="character" w:styleId="751">
    <w:name w:val="Subtitle Char"/>
    <w:basedOn w:val="904"/>
    <w:link w:val="750"/>
    <w:uiPriority w:val="11"/>
    <w:rPr>
      <w:sz w:val="24"/>
      <w:szCs w:val="24"/>
    </w:rPr>
  </w:style>
  <w:style w:type="paragraph" w:styleId="752">
    <w:name w:val="Quote"/>
    <w:basedOn w:val="903"/>
    <w:next w:val="903"/>
    <w:link w:val="753"/>
    <w:uiPriority w:val="29"/>
    <w:qFormat/>
    <w:pPr>
      <w:ind w:left="720" w:right="720"/>
    </w:pPr>
    <w:rPr>
      <w:i/>
    </w:rPr>
  </w:style>
  <w:style w:type="character" w:styleId="753">
    <w:name w:val="Quote Char"/>
    <w:link w:val="752"/>
    <w:uiPriority w:val="29"/>
    <w:rPr>
      <w:i/>
    </w:rPr>
  </w:style>
  <w:style w:type="paragraph" w:styleId="754">
    <w:name w:val="Intense Quote"/>
    <w:basedOn w:val="903"/>
    <w:next w:val="903"/>
    <w:link w:val="75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5">
    <w:name w:val="Intense Quote Char"/>
    <w:link w:val="754"/>
    <w:uiPriority w:val="30"/>
    <w:rPr>
      <w:i/>
    </w:rPr>
  </w:style>
  <w:style w:type="character" w:styleId="756">
    <w:name w:val="Header Char"/>
    <w:basedOn w:val="904"/>
    <w:link w:val="909"/>
    <w:uiPriority w:val="99"/>
  </w:style>
  <w:style w:type="character" w:styleId="757">
    <w:name w:val="Footer Char"/>
    <w:basedOn w:val="904"/>
    <w:link w:val="911"/>
    <w:uiPriority w:val="99"/>
  </w:style>
  <w:style w:type="paragraph" w:styleId="758">
    <w:name w:val="Caption"/>
    <w:basedOn w:val="903"/>
    <w:next w:val="9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9">
    <w:name w:val="Caption Char"/>
    <w:basedOn w:val="758"/>
    <w:link w:val="911"/>
    <w:uiPriority w:val="99"/>
  </w:style>
  <w:style w:type="table" w:styleId="760">
    <w:name w:val="Table Grid"/>
    <w:basedOn w:val="90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Table Grid Light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90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basedOn w:val="904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basedOn w:val="904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qFormat/>
  </w:style>
  <w:style w:type="character" w:styleId="904" w:default="1">
    <w:name w:val="Default Paragraph Font"/>
    <w:uiPriority w:val="1"/>
    <w:semiHidden/>
    <w:unhideWhenUsed/>
  </w:style>
  <w:style w:type="table" w:styleId="9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6" w:default="1">
    <w:name w:val="No List"/>
    <w:uiPriority w:val="99"/>
    <w:semiHidden/>
    <w:unhideWhenUsed/>
  </w:style>
  <w:style w:type="paragraph" w:styleId="907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character" w:styleId="908">
    <w:name w:val="Hyperlink"/>
    <w:basedOn w:val="904"/>
    <w:uiPriority w:val="99"/>
    <w:unhideWhenUsed/>
    <w:rPr>
      <w:color w:val="0000ff" w:themeColor="hyperlink"/>
      <w:u w:val="single"/>
    </w:rPr>
  </w:style>
  <w:style w:type="paragraph" w:styleId="909">
    <w:name w:val="Header"/>
    <w:basedOn w:val="903"/>
    <w:link w:val="91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0" w:customStyle="1">
    <w:name w:val="Верхний колонтитул Знак"/>
    <w:basedOn w:val="904"/>
    <w:link w:val="909"/>
    <w:uiPriority w:val="99"/>
  </w:style>
  <w:style w:type="paragraph" w:styleId="911">
    <w:name w:val="Footer"/>
    <w:basedOn w:val="903"/>
    <w:link w:val="9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2" w:customStyle="1">
    <w:name w:val="Нижний колонтитул Знак"/>
    <w:basedOn w:val="904"/>
    <w:link w:val="911"/>
    <w:uiPriority w:val="99"/>
  </w:style>
  <w:style w:type="paragraph" w:styleId="913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character" w:styleId="914" w:customStyle="1">
    <w:name w:val="Основной текст_"/>
    <w:basedOn w:val="904"/>
    <w:link w:val="915"/>
    <w:rPr>
      <w:rFonts w:ascii="Times New Roman" w:hAnsi="Times New Roman" w:eastAsia="Times New Roman" w:cs="Times New Roman"/>
      <w:sz w:val="26"/>
      <w:szCs w:val="26"/>
    </w:rPr>
  </w:style>
  <w:style w:type="paragraph" w:styleId="915" w:customStyle="1">
    <w:name w:val="Основной текст1"/>
    <w:basedOn w:val="903"/>
    <w:link w:val="914"/>
    <w:pPr>
      <w:ind w:firstLine="400"/>
      <w:spacing w:after="0" w:line="240" w:lineRule="auto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paragraph" w:styleId="916">
    <w:name w:val="Balloon Text"/>
    <w:basedOn w:val="903"/>
    <w:link w:val="91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7" w:customStyle="1">
    <w:name w:val="Текст выноски Знак"/>
    <w:basedOn w:val="904"/>
    <w:link w:val="916"/>
    <w:uiPriority w:val="99"/>
    <w:semiHidden/>
    <w:rPr>
      <w:rFonts w:ascii="Segoe UI" w:hAnsi="Segoe UI" w:cs="Segoe UI"/>
      <w:sz w:val="18"/>
      <w:szCs w:val="18"/>
    </w:rPr>
  </w:style>
  <w:style w:type="paragraph" w:styleId="918" w:customStyle="1">
    <w:name w:val="Абзац списка"/>
    <w:uiPriority w:val="99"/>
    <w:qFormat/>
    <w:pPr>
      <w:contextualSpacing w:val="0"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hyperlink" Target="consultantplus://offline/ref=86248B9F041F8CE9AD837808439F71DFF5F3B9F720925B31BA2B37D3CA4F0B332E341153244240CF37D11D80E8F87AED05FBd5t8A" TargetMode="External"/><Relationship Id="rId15" Type="http://schemas.openxmlformats.org/officeDocument/2006/relationships/hyperlink" Target="consultantplus://offline/ref=86248B9F041F8CE9AD837808439F71DFF5F3B9F720925835B02F3DD3CA4F0B332E341153245040973BD31D9EEBFF6FBB54BD0EB7B63A1FE086C404905FdFt1A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Eliseeva</dc:creator>
  <cp:revision>74</cp:revision>
  <dcterms:created xsi:type="dcterms:W3CDTF">2023-09-27T05:45:00Z</dcterms:created>
  <dcterms:modified xsi:type="dcterms:W3CDTF">2025-11-19T05:20:45Z</dcterms:modified>
</cp:coreProperties>
</file>