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СВОДНЫЙ ОТЧЕТ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для проведения оценки регулирующего воздействия</w:t>
      </w:r>
    </w:p>
    <w:p w14:paraId="02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проекта нормативного правового акта Забайкальского края</w:t>
      </w:r>
    </w:p>
    <w:p w14:paraId="03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0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Общая информация</w:t>
      </w:r>
    </w:p>
    <w:p w14:paraId="05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990"/>
      </w:tblGrid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1.1. Наименование исполнительного органа Забайкальского края или иного субъекта права законодательной инициативы в соответствии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с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Законом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Забайкальского края от 18 декабря 2009 года № 321-ЗЗК «О норм</w:t>
            </w:r>
            <w:r>
              <w:rPr>
                <w:rFonts w:ascii="Times New Roman" w:hAnsi="Times New Roman"/>
                <w:b w:val="0"/>
              </w:rPr>
              <w:t>ативных правовых актах Забайкальского края» - разработчика проекта нормативного правового акта Забайкальского края (далее соответственно - разработчик, проект НПА):</w:t>
            </w:r>
          </w:p>
          <w:p w14:paraId="0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</w:t>
            </w:r>
            <w:r>
              <w:rPr>
                <w:rFonts w:ascii="Times New Roman" w:hAnsi="Times New Roman"/>
                <w:b w:val="0"/>
                <w:u w:val="single"/>
              </w:rPr>
              <w:t>прокуратура Забайкальского края</w:t>
            </w:r>
            <w:r>
              <w:rPr>
                <w:rFonts w:ascii="Times New Roman" w:hAnsi="Times New Roman"/>
                <w:b w:val="0"/>
              </w:rPr>
              <w:t>_______________________________</w:t>
            </w:r>
          </w:p>
          <w:p w14:paraId="0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полное и краткое наименование)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1.2. Сроки проведения публичного обсуждения проекта НП</w:t>
            </w:r>
            <w:r>
              <w:rPr>
                <w:rStyle w:val="Style_1_ch"/>
                <w:rFonts w:ascii="Times New Roman" w:hAnsi="Times New Roman"/>
                <w:b w:val="0"/>
              </w:rPr>
              <w:t>А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&lt;*&gt;</w:t>
            </w:r>
            <w:r>
              <w:rPr>
                <w:rStyle w:val="Style_1_ch"/>
                <w:rFonts w:ascii="Times New Roman" w:hAnsi="Times New Roman"/>
                <w:b w:val="0"/>
              </w:rPr>
              <w:t>:</w:t>
            </w:r>
          </w:p>
          <w:p w14:paraId="0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0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дата начала и окончания публичного обсуждения)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1.3. Сведения о соисполнителях проекта НПА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&lt;**&gt;</w:t>
            </w:r>
            <w:r>
              <w:rPr>
                <w:rStyle w:val="Style_1_ch"/>
                <w:rFonts w:ascii="Times New Roman" w:hAnsi="Times New Roman"/>
                <w:b w:val="0"/>
              </w:rPr>
              <w:t>:</w:t>
            </w:r>
          </w:p>
          <w:p w14:paraId="0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0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полное и краткое наименование)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1.4. Вид и наименование проекта НПА:</w:t>
            </w:r>
          </w:p>
          <w:p w14:paraId="1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проект закона Забайкальского кра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я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Об установлении на террито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рии Забайкальского края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квоты для приема на работу участников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специальной военной операции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»</w:t>
            </w:r>
            <w:r>
              <w:rPr>
                <w:rFonts w:ascii="Times New Roman" w:hAnsi="Times New Roman"/>
                <w:b w:val="0"/>
              </w:rPr>
              <w:t>____________________________________________________</w:t>
            </w:r>
          </w:p>
          <w:p w14:paraId="1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14:paraId="13000000">
            <w:pPr>
              <w:widowControl w:val="1"/>
              <w:spacing w:after="0" w:before="0" w:line="240" w:lineRule="auto"/>
              <w:ind w:firstLine="85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1_ch"/>
                <w:rFonts w:ascii="Times New Roman" w:hAnsi="Times New Roman"/>
                <w:b w:val="0"/>
                <w:sz w:val="28"/>
                <w:u w:val="single"/>
              </w:rPr>
              <w:t>С территории Забайкальского края для участия в проведении СВО добровольно и в ходе мобилизации призвано более 12 тыс. жителей</w:t>
            </w:r>
            <w:r>
              <w:rPr>
                <w:rFonts w:ascii="Times New Roman" w:hAnsi="Times New Roman"/>
                <w:b w:val="0"/>
              </w:rPr>
              <w:t>_________</w:t>
            </w:r>
          </w:p>
          <w:p w14:paraId="1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1.6. Основание для разработки проекта НПА:</w:t>
            </w:r>
          </w:p>
          <w:p w14:paraId="1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</w:t>
            </w:r>
            <w:r>
              <w:rPr>
                <w:rFonts w:ascii="Times New Roman" w:hAnsi="Times New Roman"/>
                <w:b w:val="0"/>
                <w:u w:val="single"/>
              </w:rPr>
              <w:t>Согласно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п.  9 ч. 5 ст.  28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Федерального закона от 12.12.2023 № 565-ФЗ «О занятости населения в Российской Федерации к дополнительным мерам государственной поддержки в сфере занятости населения относятся меры, в том числе направленные на содействие занятости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№ 61-ФЗ «Об обороне»</w:t>
            </w:r>
            <w:r>
              <w:rPr>
                <w:rFonts w:ascii="Times New Roman" w:hAnsi="Times New Roman"/>
                <w:b w:val="0"/>
              </w:rPr>
              <w:t>___________________________________________________________</w:t>
            </w:r>
          </w:p>
          <w:p w14:paraId="1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1.7. Краткое описание целей предлагаемого регулирования:</w:t>
            </w:r>
          </w:p>
          <w:p w14:paraId="1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</w:t>
            </w:r>
            <w:r>
              <w:rPr>
                <w:rFonts w:ascii="Times New Roman" w:hAnsi="Times New Roman"/>
                <w:b w:val="0"/>
                <w:u w:val="single"/>
              </w:rPr>
              <w:t>трудоустройство участников специальной военной операции</w:t>
            </w:r>
            <w:r>
              <w:rPr>
                <w:rFonts w:ascii="Times New Roman" w:hAnsi="Times New Roman"/>
                <w:b w:val="0"/>
              </w:rPr>
              <w:t>_____________________________________________________________</w:t>
            </w:r>
          </w:p>
          <w:p w14:paraId="1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1.8. Краткое описание предлагаемого регулирования:</w:t>
            </w:r>
          </w:p>
          <w:p w14:paraId="1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_____Р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аботодателям, осуществляющим деятельность на территории края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, у которых численность работников составляет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 от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100 человек и более,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устанавливается квота для приема на работу участников специальной военной операции в размере 3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процентов</w:t>
            </w:r>
            <w:r>
              <w:rPr>
                <w:rFonts w:ascii="Times New Roman" w:hAnsi="Times New Roman"/>
                <w:b w:val="0"/>
              </w:rPr>
              <w:t>_________________________________________</w:t>
            </w:r>
          </w:p>
          <w:p w14:paraId="1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1.9. Контактная информация об исполнителе разработчика:</w:t>
            </w:r>
          </w:p>
          <w:p w14:paraId="1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Ф.И.О. (отчество - при наличии): </w:t>
            </w:r>
            <w:r>
              <w:rPr>
                <w:rFonts w:ascii="Times New Roman" w:hAnsi="Times New Roman"/>
                <w:b w:val="0"/>
              </w:rPr>
              <w:t>Шишкина Олеся Валерьевна</w:t>
            </w:r>
          </w:p>
          <w:p w14:paraId="2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Должность:</w:t>
            </w:r>
            <w:r>
              <w:rPr>
                <w:rFonts w:ascii="Times New Roman" w:hAnsi="Times New Roman"/>
                <w:sz w:val="28"/>
              </w:rPr>
              <w:t>Старший п</w:t>
            </w:r>
            <w:r>
              <w:rPr>
                <w:rFonts w:ascii="Times New Roman" w:hAnsi="Times New Roman"/>
                <w:sz w:val="28"/>
              </w:rPr>
              <w:t>омощник</w:t>
            </w:r>
            <w:r>
              <w:rPr>
                <w:rFonts w:ascii="Times New Roman" w:hAnsi="Times New Roman"/>
                <w:sz w:val="28"/>
              </w:rPr>
              <w:t xml:space="preserve"> прокурора Забайкальского края </w:t>
            </w:r>
            <w:r>
              <w:rPr>
                <w:rFonts w:ascii="Times New Roman" w:hAnsi="Times New Roman"/>
                <w:sz w:val="28"/>
              </w:rPr>
              <w:t>по взаимодействию с законодательными и исполнительными органами, органами местного самоуправления</w:t>
            </w:r>
          </w:p>
          <w:p w14:paraId="2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Телефон:</w:t>
            </w:r>
            <w:r>
              <w:rPr>
                <w:rFonts w:ascii="Times New Roman" w:hAnsi="Times New Roman"/>
                <w:b w:val="0"/>
              </w:rPr>
              <w:t>8-914-128-3033</w:t>
            </w:r>
          </w:p>
          <w:p w14:paraId="2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Адрес электронной почты:</w:t>
            </w:r>
          </w:p>
        </w:tc>
      </w:tr>
    </w:tbl>
    <w:p w14:paraId="23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Предполагаемая степень регулирующего воздействия</w:t>
      </w:r>
    </w:p>
    <w:p w14:paraId="25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проекта НПА</w:t>
      </w:r>
    </w:p>
    <w:p w14:paraId="2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650"/>
        <w:gridCol w:w="5355"/>
      </w:tblGrid>
      <w:tr>
        <w:tc>
          <w:tcPr>
            <w:tcW w:type="dxa" w:w="4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type="dxa" w:w="53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высокая/средняя/низкая</w:t>
            </w:r>
          </w:p>
        </w:tc>
      </w:tr>
      <w:tr>
        <w:tc>
          <w:tcPr>
            <w:tcW w:type="dxa" w:w="1000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2.2. Обоснование отнесения проекта нормативного правового акта к определенной степени регулирующего воз</w:t>
            </w:r>
            <w:r>
              <w:rPr>
                <w:rStyle w:val="Style_1_ch"/>
                <w:rFonts w:ascii="Times New Roman" w:hAnsi="Times New Roman"/>
                <w:b w:val="0"/>
              </w:rPr>
              <w:t>действия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&lt;***&gt;</w:t>
            </w:r>
            <w:r>
              <w:rPr>
                <w:rStyle w:val="Style_1_ch"/>
                <w:rFonts w:ascii="Times New Roman" w:hAnsi="Times New Roman"/>
                <w:b w:val="0"/>
              </w:rPr>
              <w:t>:</w:t>
            </w:r>
          </w:p>
          <w:p w14:paraId="2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2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2C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D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Детальное описание проблемы, на решение которой направлен</w:t>
      </w:r>
    </w:p>
    <w:p w14:paraId="2E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предлагаемый способ регулирования, оценка негативных</w:t>
      </w:r>
    </w:p>
    <w:p w14:paraId="2F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эффектов, возникающих в связи с наличием рассматриваемой</w:t>
      </w:r>
    </w:p>
    <w:p w14:paraId="30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проблемы</w:t>
      </w:r>
    </w:p>
    <w:p w14:paraId="31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0005"/>
      </w:tblGrid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3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</w:t>
            </w:r>
            <w:r>
              <w:rPr>
                <w:rFonts w:ascii="Times New Roman" w:hAnsi="Times New Roman"/>
                <w:b w:val="0"/>
                <w:u w:val="single"/>
              </w:rPr>
              <w:t>трудоустройство участников специальной военной операции</w:t>
            </w:r>
            <w:r>
              <w:rPr>
                <w:rFonts w:ascii="Times New Roman" w:hAnsi="Times New Roman"/>
                <w:b w:val="0"/>
              </w:rPr>
              <w:t>_____________________________________________________________</w:t>
            </w:r>
          </w:p>
          <w:p w14:paraId="3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3.2. Негативные эффекты, возникающие в связи с наличием проблемы: </w:t>
            </w:r>
          </w:p>
          <w:p w14:paraId="36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С начала 2026 года в органы службы занятости за содействием в поиске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работы обратилось 194 участника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СВО, из них трудоустроено 87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человек.</w:t>
            </w:r>
          </w:p>
          <w:p w14:paraId="37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К сферам трудоустройства участников СВО относятся: обеспечение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безопасности (охранник, сторож) – 3 чел.; деятельность по комплексному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обслуживанию помещений (уборщик помещений, рабочий по комплексному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обслуживанию зданий) – 6 чел.; лесное хозяйство (пожарный) – 13 чел.;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транспорт и связь (водитель автомобиля и др. ) – 10 чел.; административная и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управленческая деятельность (начальник отдела, специалист) - 4 чел.;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благоустройство и строительство (плотник, слесарь-ремонтник) – 6 чел. и др.</w:t>
            </w:r>
          </w:p>
          <w:p w14:paraId="38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В целях развития профессиональных компетенций и успешного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трудоустройства на конкретную должность для участников СВО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организовано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профессиональное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обучение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и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дополнительное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профессиональное образование. За рассматриваемый период к прохождению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профобучения приступили 8 участников СВО, из которых 5 человек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завершили обучение, 3 человека продолжают освоение образовательных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программ. Наиболее востребованными среди участников СВО пользуются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следующие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образовательные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программы: «водитель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автомобиля»,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«охранник»</w:t>
            </w:r>
            <w:r>
              <w:t>.</w:t>
            </w:r>
          </w:p>
          <w:p w14:paraId="3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14:paraId="3B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Конституция Российской Федерации, </w:t>
            </w:r>
          </w:p>
          <w:p w14:paraId="3C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Федеральный закон от 12 декабря 2023 года № 565-ФЗ «О занятости населения в Российской Федерации»</w:t>
            </w:r>
            <w:r>
              <w:rPr>
                <w:rFonts w:ascii="Times New Roman" w:hAnsi="Times New Roman"/>
                <w:b w:val="0"/>
              </w:rPr>
              <w:t>_____________________________________</w:t>
            </w:r>
          </w:p>
          <w:p w14:paraId="3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3.5. Источники данных:</w:t>
            </w:r>
          </w:p>
          <w:p w14:paraId="4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4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3.6. Количественные характеристики и иная информация о проблеме:</w:t>
            </w:r>
          </w:p>
          <w:p w14:paraId="4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4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45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46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Анализ опыта субъектов Российской Федерации</w:t>
      </w:r>
    </w:p>
    <w:p w14:paraId="47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соответствующих сферах деятельности</w:t>
      </w:r>
    </w:p>
    <w:p w14:paraId="4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975"/>
      </w:tblGrid>
      <w:tr>
        <w:tc>
          <w:tcPr>
            <w:tcW w:type="dxa" w:w="9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4.1. Опыт субъектов Российской Федерации в соответствующих сферах деятельности: </w:t>
            </w:r>
          </w:p>
          <w:p w14:paraId="4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</w:t>
            </w:r>
            <w:r>
              <w:rPr>
                <w:rFonts w:ascii="Times New Roman" w:hAnsi="Times New Roman"/>
                <w:sz w:val="28"/>
                <w:u w:val="single"/>
              </w:rPr>
              <w:t>Во многих субъектах Российской Федерации уже действует аналогичная мера государственной поддержки (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Вологодская, </w:t>
            </w:r>
            <w:r>
              <w:rPr>
                <w:rFonts w:ascii="Times New Roman" w:hAnsi="Times New Roman"/>
                <w:sz w:val="28"/>
                <w:u w:val="single"/>
              </w:rPr>
              <w:t>Курская,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Новгородская,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Пензинская,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Самарская,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Тамбовская области, </w:t>
            </w:r>
            <w:r>
              <w:rPr>
                <w:rFonts w:ascii="Times New Roman" w:hAnsi="Times New Roman"/>
                <w:sz w:val="28"/>
                <w:u w:val="single"/>
              </w:rPr>
              <w:t>Республика Карелия и другие).</w:t>
            </w:r>
            <w:r>
              <w:rPr>
                <w:rFonts w:ascii="Times New Roman" w:hAnsi="Times New Roman"/>
                <w:b w:val="0"/>
                <w:u w:val="single"/>
              </w:rPr>
              <w:t>_</w:t>
            </w:r>
            <w:r>
              <w:rPr>
                <w:rFonts w:ascii="Times New Roman" w:hAnsi="Times New Roman"/>
                <w:b w:val="0"/>
              </w:rPr>
              <w:t>___________________________________________________________</w:t>
            </w:r>
          </w:p>
          <w:p w14:paraId="4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  <w:p w14:paraId="4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4.2. Источники данных:</w:t>
            </w:r>
          </w:p>
          <w:p w14:paraId="4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</w:t>
            </w:r>
            <w:r>
              <w:rPr>
                <w:rFonts w:ascii="Times New Roman" w:hAnsi="Times New Roman"/>
                <w:b w:val="0"/>
                <w:u w:val="single"/>
              </w:rPr>
              <w:t>законы иных субъектов Российской Федерации</w:t>
            </w:r>
            <w:r>
              <w:rPr>
                <w:rFonts w:ascii="Times New Roman" w:hAnsi="Times New Roman"/>
                <w:b w:val="0"/>
              </w:rPr>
              <w:t>_______________________</w:t>
            </w:r>
          </w:p>
          <w:p w14:paraId="4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4F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50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Цели предлагаемого регулирования и их соответствие</w:t>
      </w:r>
    </w:p>
    <w:p w14:paraId="51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принципам правового регулирования, программным документам</w:t>
      </w:r>
    </w:p>
    <w:p w14:paraId="52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 Российской Федерации, Правительства</w:t>
      </w:r>
    </w:p>
    <w:p w14:paraId="53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Забайкальского края</w:t>
      </w:r>
    </w:p>
    <w:p w14:paraId="54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15"/>
        <w:gridCol w:w="3015"/>
        <w:gridCol w:w="3930"/>
      </w:tblGrid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5.1. Цели предлагаемого правового регулирования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type="dxa" w:w="3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5.3. Ключевые показатели достижения целей предлагаемого правового регулирования</w:t>
            </w:r>
          </w:p>
        </w:tc>
      </w:tr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(Цель 1) __</w:t>
            </w:r>
            <w:r>
              <w:rPr>
                <w:rFonts w:ascii="Times New Roman" w:hAnsi="Times New Roman"/>
                <w:b w:val="0"/>
                <w:u w:val="single"/>
              </w:rPr>
              <w:t>трудоустройство участников специальной военной операции</w:t>
            </w:r>
            <w:r>
              <w:rPr>
                <w:rFonts w:ascii="Times New Roman" w:hAnsi="Times New Roman"/>
                <w:b w:val="0"/>
              </w:rPr>
              <w:t>__________</w:t>
            </w:r>
          </w:p>
          <w:p w14:paraId="5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(Показатель 1) ___________</w:t>
            </w:r>
          </w:p>
          <w:p w14:paraId="5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(место для текстового описания)</w:t>
            </w:r>
          </w:p>
        </w:tc>
      </w:tr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(Цель N) _______________</w:t>
            </w:r>
          </w:p>
          <w:p w14:paraId="5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(Показатель N) ___________</w:t>
            </w:r>
          </w:p>
          <w:p w14:paraId="6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(место для текстового описания)</w:t>
            </w:r>
          </w:p>
        </w:tc>
      </w:tr>
      <w:tr>
        <w:tc>
          <w:tcPr>
            <w:tcW w:type="dxa" w:w="99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14:paraId="6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6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14:paraId="6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6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6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6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Описание содержания предлагаемого правового регулирования</w:t>
      </w:r>
    </w:p>
    <w:p w14:paraId="6A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альтернативных вариантов решения проблемы</w:t>
      </w:r>
    </w:p>
    <w:p w14:paraId="6B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990"/>
      </w:tblGrid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14:paraId="6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Введение квоты даст участникам специальной военной операции преимущественное право на трудоустройство, снизит уровень безработицы в  регионе и, как следствие, окажет помощь в их социальной адаптации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_</w:t>
            </w:r>
            <w:r>
              <w:rPr>
                <w:rFonts w:ascii="Times New Roman" w:hAnsi="Times New Roman"/>
                <w:b w:val="0"/>
              </w:rPr>
              <w:t>___________________________________________________________</w:t>
            </w:r>
          </w:p>
          <w:p w14:paraId="6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14:paraId="7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7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6.3. Обоснование выбора предлагаемого способа решения проблемы:</w:t>
            </w:r>
          </w:p>
          <w:p w14:paraId="7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7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14:paraId="7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7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7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7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 Основные группы субъектов предпринимательской и иной</w:t>
      </w:r>
    </w:p>
    <w:p w14:paraId="7A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экономической деятельности, иные заинтересованные лица,</w:t>
      </w:r>
    </w:p>
    <w:p w14:paraId="7B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интересы которых будут затронуты предлагаемым правовым</w:t>
      </w:r>
    </w:p>
    <w:p w14:paraId="7C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регулированием</w:t>
      </w:r>
    </w:p>
    <w:p w14:paraId="7D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6210"/>
        <w:gridCol w:w="3780"/>
      </w:tblGrid>
      <w:tr>
        <w:tc>
          <w:tcPr>
            <w:tcW w:type="dxa" w:w="6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7.1. Группа участников отношений:</w:t>
            </w:r>
          </w:p>
          <w:p w14:paraId="7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р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аботодатели, осуществляющие деятельность на территории края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, у которых численность работников составляет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составляет от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100 человек и более</w:t>
            </w:r>
            <w:r>
              <w:rPr>
                <w:rStyle w:val="Style_1_ch"/>
                <w:rFonts w:ascii="Times New Roman" w:hAnsi="Times New Roman"/>
                <w:b w:val="0"/>
              </w:rPr>
              <w:t>_</w:t>
            </w:r>
            <w:r>
              <w:rPr>
                <w:rFonts w:ascii="Times New Roman" w:hAnsi="Times New Roman"/>
                <w:b w:val="0"/>
              </w:rPr>
              <w:t>__________________________________</w:t>
            </w:r>
          </w:p>
          <w:p w14:paraId="8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type="dxa" w:w="3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7.2. Оценка количества участников отношений:</w:t>
            </w:r>
          </w:p>
          <w:p w14:paraId="8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</w:p>
          <w:p w14:paraId="8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более 600 работодателей в регионе</w:t>
            </w:r>
          </w:p>
        </w:tc>
      </w:tr>
      <w:tr>
        <w:tc>
          <w:tcPr>
            <w:tcW w:type="dxa" w:w="6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7.3. Описание иных групп участников отношений:</w:t>
            </w:r>
          </w:p>
          <w:p w14:paraId="8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</w:t>
            </w:r>
          </w:p>
          <w:p w14:paraId="8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(описание иных групп заинтересованных лиц)</w:t>
            </w:r>
          </w:p>
        </w:tc>
        <w:tc>
          <w:tcPr>
            <w:tcW w:type="dxa" w:w="3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9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7.4. Источники данных:</w:t>
            </w:r>
          </w:p>
          <w:p w14:paraId="8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</w:t>
            </w:r>
            <w:r>
              <w:rPr>
                <w:rFonts w:ascii="Times New Roman" w:hAnsi="Times New Roman"/>
                <w:b w:val="0"/>
                <w:u w:val="single"/>
              </w:rPr>
              <w:t>данные УФНС края о количестве работодателей</w:t>
            </w:r>
            <w:r>
              <w:rPr>
                <w:rFonts w:ascii="Times New Roman" w:hAnsi="Times New Roman"/>
                <w:b w:val="0"/>
              </w:rPr>
              <w:t>____________________</w:t>
            </w:r>
          </w:p>
          <w:p w14:paraId="8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8B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8C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8. Оценка соответствующих расходов бюджета Забайкальского</w:t>
      </w:r>
    </w:p>
    <w:p w14:paraId="8D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края</w:t>
      </w:r>
    </w:p>
    <w:p w14:paraId="8E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15"/>
        <w:gridCol w:w="3015"/>
        <w:gridCol w:w="3960"/>
      </w:tblGrid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 Наименование новой или изменяемой функции, полномочия, обязанности или права, вводимых предлагаемым регулированием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 Описание видов расходов бюджета Забайкальского края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 Количественная оценка расходов и возможных поступлений, рублей</w:t>
            </w:r>
          </w:p>
        </w:tc>
      </w:tr>
      <w:tr>
        <w:tc>
          <w:tcPr>
            <w:tcW w:type="dxa" w:w="9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участника регулирования: _____________________________________________________________________</w:t>
            </w:r>
          </w:p>
          <w:p w14:paraId="9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30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функции (полномочия, обязанности или права)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Единовременные расходы в __ (год возникновения):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30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Периодические расходы за период __ гг.: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30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Возможные поступления за период __ гг.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6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расходы: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6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Итого периодические расходы за период ___ гг.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6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Итого возможные поступления за период __ гг.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8.4. Иные сведения о расходах (возможных поступлениях) бюджета Забайкальского края:</w:t>
            </w:r>
          </w:p>
          <w:p w14:paraId="A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A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8.5. Источники данных:</w:t>
            </w:r>
          </w:p>
          <w:p w14:paraId="A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A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A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A8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9. Новые обязанности, ответственность или ограничения</w:t>
      </w:r>
    </w:p>
    <w:p w14:paraId="A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субъектов предпринимательской и иной экономической</w:t>
      </w:r>
    </w:p>
    <w:p w14:paraId="AA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деятельности либо изменение содержания существующих</w:t>
      </w:r>
    </w:p>
    <w:p w14:paraId="AB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обязанностей, ответственности и ограничений</w:t>
      </w:r>
    </w:p>
    <w:p w14:paraId="AC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00"/>
        <w:gridCol w:w="3000"/>
        <w:gridCol w:w="3945"/>
      </w:tblGrid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 Группа участников отношений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Описание новых обязанностей, ответственности и ограничений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 Описание изменения содержания существующих обязанностей, ответственности и ограничений</w:t>
            </w:r>
          </w:p>
        </w:tc>
      </w:tr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р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аботодатели, осуществляющие деятельность на территории края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, у которых численность работников составляет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составляет от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100 человек и более</w:t>
            </w:r>
            <w:r>
              <w:rPr>
                <w:rFonts w:ascii="Times New Roman" w:hAnsi="Times New Roman"/>
              </w:rPr>
              <w:t>_______________</w:t>
            </w:r>
          </w:p>
          <w:p w14:paraId="B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(место для текстового описания, сведения </w:t>
            </w:r>
            <w:r>
              <w:rPr>
                <w:rStyle w:val="Style_1_ch"/>
                <w:rFonts w:ascii="Times New Roman" w:hAnsi="Times New Roman"/>
                <w:sz w:val="20"/>
              </w:rPr>
              <w:t>из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sz w:val="20"/>
              </w:rPr>
              <w:t>раздела 7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водного отчета)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 xml:space="preserve">выполнение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квоты для приема на работу</w:t>
            </w:r>
            <w:r>
              <w:rPr>
                <w:rFonts w:ascii="Times New Roman" w:hAnsi="Times New Roman"/>
              </w:rPr>
              <w:t>_____________</w:t>
            </w:r>
          </w:p>
          <w:p w14:paraId="B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B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B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B7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10. Оценка расходов и доходов субъектов предпринимательской</w:t>
      </w:r>
    </w:p>
    <w:p w14:paraId="B8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иной экономической деятельности, связанных</w:t>
      </w:r>
    </w:p>
    <w:p w14:paraId="B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необходимостью соблюдения установленных обязанностей</w:t>
      </w:r>
    </w:p>
    <w:p w14:paraId="BA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ответственности</w:t>
      </w:r>
    </w:p>
    <w:p w14:paraId="BB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00"/>
        <w:gridCol w:w="3000"/>
        <w:gridCol w:w="3915"/>
      </w:tblGrid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 Группа участников отношений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10.2. Описание новых или изменения содержания существующих</w:t>
            </w:r>
          </w:p>
          <w:p w14:paraId="B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обязанностей, ограничений и ответственности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10.3. Описание и оценка видов расходов</w:t>
            </w:r>
          </w:p>
        </w:tc>
      </w:tr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</w:t>
            </w:r>
          </w:p>
          <w:p w14:paraId="C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описания, сведения и</w:t>
            </w:r>
            <w:r>
              <w:rPr>
                <w:rStyle w:val="Style_1_ch"/>
                <w:rFonts w:ascii="Times New Roman" w:hAnsi="Times New Roman"/>
                <w:sz w:val="20"/>
              </w:rPr>
              <w:t>з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sz w:val="20"/>
              </w:rPr>
              <w:t>раздела 7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Сводного отчета)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</w:t>
            </w:r>
          </w:p>
          <w:p w14:paraId="C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</w:t>
            </w:r>
          </w:p>
          <w:p w14:paraId="C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1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10.4. Источники данных:</w:t>
            </w:r>
          </w:p>
          <w:p w14:paraId="C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C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C9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CA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Риски решения проблемы предложенным способом</w:t>
      </w:r>
    </w:p>
    <w:p w14:paraId="CB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регулирования и риски негативных последствий</w:t>
      </w:r>
    </w:p>
    <w:p w14:paraId="CC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530"/>
        <w:gridCol w:w="5340"/>
      </w:tblGrid>
      <w:tr>
        <w:tc>
          <w:tcPr>
            <w:tcW w:type="dxa" w:w="4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type="dxa" w:w="5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11.2. Оценка вероятности наступления рисков</w:t>
            </w:r>
          </w:p>
        </w:tc>
      </w:tr>
      <w:tr>
        <w:trPr>
          <w:trHeight w:hRule="atLeast" w:val="592"/>
        </w:trPr>
        <w:tc>
          <w:tcPr>
            <w:tcW w:type="dxa" w:w="4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</w:t>
            </w:r>
          </w:p>
          <w:p w14:paraId="D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type="dxa" w:w="5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</w:t>
            </w:r>
          </w:p>
          <w:p w14:paraId="D2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11.3. Источники данных:</w:t>
            </w:r>
          </w:p>
          <w:p w14:paraId="D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</w:t>
            </w:r>
          </w:p>
          <w:p w14:paraId="D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D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D7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 Предполагаемая дата вступления в силу проекта</w:t>
      </w:r>
    </w:p>
    <w:p w14:paraId="D8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нормативного правового акта, необходимость установления</w:t>
      </w:r>
    </w:p>
    <w:p w14:paraId="D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переходных положений (переходного периода)</w:t>
      </w:r>
    </w:p>
    <w:p w14:paraId="DA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530"/>
        <w:gridCol w:w="5310"/>
      </w:tblGrid>
      <w:tr>
        <w:tc>
          <w:tcPr>
            <w:tcW w:type="dxa" w:w="98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12.1. Предполагаемая дата вступления в силу проекта нормативного правового акта: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по истечении десяти дней после дня его официального опубликования</w:t>
            </w:r>
          </w:p>
        </w:tc>
      </w:tr>
      <w:tr>
        <w:tc>
          <w:tcPr>
            <w:tcW w:type="dxa" w:w="4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 Необходимость установления переходных положений (переходного периода):</w:t>
            </w:r>
          </w:p>
          <w:p w14:paraId="D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14:paraId="D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type="dxa" w:w="5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 Срок (если есть необходимость)</w:t>
            </w:r>
          </w:p>
          <w:p w14:paraId="E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14:paraId="E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(дней с момента принятия нормативного правового акта)</w:t>
            </w:r>
          </w:p>
        </w:tc>
      </w:tr>
    </w:tbl>
    <w:p w14:paraId="E2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E3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13. Иные сведения (при наличии информации):</w:t>
      </w:r>
    </w:p>
    <w:p w14:paraId="E4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795"/>
      </w:tblGrid>
      <w:tr>
        <w:tc>
          <w:tcPr>
            <w:tcW w:type="dxa" w:w="9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</w:t>
            </w:r>
          </w:p>
          <w:p w14:paraId="E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E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E8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--------------------------------</w:t>
      </w:r>
    </w:p>
    <w:p w14:paraId="E9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&lt;*&gt; Указываются в случае проведения разработчиком публичных обсуждений проекта НПА.</w:t>
      </w:r>
    </w:p>
    <w:p w14:paraId="EA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&lt;**&gt; Указываются при наличии.</w:t>
      </w:r>
    </w:p>
    <w:p w14:paraId="EB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&lt;***&gt; Указывается в соответстви</w:t>
      </w:r>
      <w:r>
        <w:rPr>
          <w:rStyle w:val="Style_1_ch"/>
          <w:rFonts w:ascii="Times New Roman" w:hAnsi="Times New Roman"/>
          <w:b w:val="0"/>
        </w:rPr>
        <w:t>и с</w:t>
      </w:r>
      <w:r>
        <w:rPr>
          <w:rStyle w:val="Style_1_ch"/>
          <w:rFonts w:ascii="Times New Roman" w:hAnsi="Times New Roman"/>
          <w:b w:val="0"/>
        </w:rPr>
        <w:t xml:space="preserve"> </w:t>
      </w:r>
      <w:r>
        <w:rPr>
          <w:rStyle w:val="Style_1_ch"/>
          <w:rFonts w:ascii="Times New Roman" w:hAnsi="Times New Roman"/>
          <w:b w:val="0"/>
        </w:rPr>
        <w:t>пунктом 10</w:t>
      </w:r>
      <w:r>
        <w:rPr>
          <w:rStyle w:val="Style_1_ch"/>
          <w:rFonts w:ascii="Times New Roman" w:hAnsi="Times New Roman"/>
          <w:b w:val="0"/>
        </w:rPr>
        <w:t xml:space="preserve"> </w:t>
      </w:r>
      <w:r>
        <w:rPr>
          <w:rStyle w:val="Style_1_ch"/>
          <w:rFonts w:ascii="Times New Roman" w:hAnsi="Times New Roman"/>
          <w:b w:val="0"/>
        </w:rPr>
        <w:t>Порядка пр</w:t>
      </w:r>
      <w:r>
        <w:rPr>
          <w:rFonts w:ascii="Times New Roman" w:hAnsi="Times New Roman"/>
          <w:b w:val="0"/>
        </w:rPr>
        <w:t>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N 80.</w:t>
      </w:r>
    </w:p>
    <w:p w14:paraId="EC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ED000000">
      <w:pPr>
        <w:pStyle w:val="Style_1"/>
      </w:pPr>
    </w:p>
    <w:sectPr>
      <w:pgSz w:h="16848" w:orient="portrait" w:w="11908"/>
      <w:pgMar w:bottom="1134" w:left="130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2026-06-04T01:19:57Z</dcterms:created>
  <dcterms:modified xsi:type="dcterms:W3CDTF">2026-06-04T01:23:08Z</dcterms:modified>
</cp:coreProperties>
</file>