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771" w:rsidRDefault="00DE36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533771" w:rsidRDefault="00DE361F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проведении публичных консультаций в целях оценки регулирующего воздействия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проекта постановления Правительства Забайкальского края </w:t>
      </w:r>
      <w:r>
        <w:rPr>
          <w:rFonts w:ascii="Times New Roman" w:hAnsi="Times New Roman" w:cs="Times New Roman"/>
          <w:b/>
          <w:bCs/>
          <w:sz w:val="24"/>
          <w:szCs w:val="24"/>
        </w:rPr>
        <w:t>«О внесении изменений в постановление Правительства Забайкальского края от 1 сентября 2022 года № 391 «О некоторых вопросах предоставления из бюджета Забайкальского края финансовой поддержки в виде грантов в форме субсидий в сфере туризма»</w:t>
      </w:r>
    </w:p>
    <w:p w:rsidR="00533771" w:rsidRDefault="00533771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3771" w:rsidRDefault="00DE361F">
      <w:pPr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участ</w:t>
      </w:r>
      <w:r>
        <w:rPr>
          <w:rFonts w:ascii="Times New Roman" w:hAnsi="Times New Roman" w:cs="Times New Roman"/>
          <w:sz w:val="24"/>
          <w:szCs w:val="24"/>
        </w:rPr>
        <w:t>ник публичных консультаций!</w:t>
      </w:r>
    </w:p>
    <w:p w:rsidR="00533771" w:rsidRDefault="00DE36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Министерство экономического развития Забайкальского края уведомляет о проведении публичных консультаций в целях оценки регулирующего воздействия проекта нормативного правового акта.</w:t>
      </w:r>
    </w:p>
    <w:p w:rsidR="00533771" w:rsidRDefault="005337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9"/>
        <w:tblW w:w="10661" w:type="dxa"/>
        <w:tblInd w:w="-318" w:type="dxa"/>
        <w:tblLook w:val="04A0" w:firstRow="1" w:lastRow="0" w:firstColumn="1" w:lastColumn="0" w:noHBand="0" w:noVBand="1"/>
      </w:tblPr>
      <w:tblGrid>
        <w:gridCol w:w="3574"/>
        <w:gridCol w:w="7087"/>
      </w:tblGrid>
      <w:tr w:rsidR="00533771">
        <w:trPr>
          <w:trHeight w:val="508"/>
        </w:trPr>
        <w:tc>
          <w:tcPr>
            <w:tcW w:w="3574" w:type="dxa"/>
          </w:tcPr>
          <w:p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нормативного правового акта:</w:t>
            </w:r>
          </w:p>
        </w:tc>
        <w:tc>
          <w:tcPr>
            <w:tcW w:w="7087" w:type="dxa"/>
          </w:tcPr>
          <w:p w:rsidR="00533771" w:rsidRDefault="00DE3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становления Правительства Забайкальского края</w:t>
            </w:r>
          </w:p>
        </w:tc>
      </w:tr>
      <w:tr w:rsidR="00533771">
        <w:tc>
          <w:tcPr>
            <w:tcW w:w="3574" w:type="dxa"/>
          </w:tcPr>
          <w:p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Наименование проекта нормативного правового акта:</w:t>
            </w:r>
          </w:p>
        </w:tc>
        <w:tc>
          <w:tcPr>
            <w:tcW w:w="7087" w:type="dxa"/>
          </w:tcPr>
          <w:p w:rsidR="00533771" w:rsidRDefault="00DE361F">
            <w:pPr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 внесении изменений в постановление Правительства Забайкальского края от 1 сентября 2022 года № 391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 некоторых вопросах предоставления из бюджета Забайкаль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ского края финансовой поддержки в виде грантов в форме субсидий в сфере туризма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33771">
        <w:trPr>
          <w:trHeight w:val="858"/>
        </w:trPr>
        <w:tc>
          <w:tcPr>
            <w:tcW w:w="3574" w:type="dxa"/>
          </w:tcPr>
          <w:p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Планируемый срок вступления в силу проекта нормативного правового акта:</w:t>
            </w:r>
          </w:p>
        </w:tc>
        <w:tc>
          <w:tcPr>
            <w:tcW w:w="7087" w:type="dxa"/>
          </w:tcPr>
          <w:p w:rsidR="00533771" w:rsidRDefault="00DE361F" w:rsidP="00DE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вступает </w:t>
            </w:r>
            <w:r w:rsidR="00B955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силу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955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следующий день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после дня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официального опубликования</w:t>
            </w:r>
            <w:bookmarkStart w:id="0" w:name="_GoBack"/>
            <w:bookmarkEnd w:id="0"/>
          </w:p>
        </w:tc>
      </w:tr>
      <w:tr w:rsidR="00533771">
        <w:trPr>
          <w:trHeight w:val="1356"/>
        </w:trPr>
        <w:tc>
          <w:tcPr>
            <w:tcW w:w="3574" w:type="dxa"/>
          </w:tcPr>
          <w:p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Необходимость или отсутствие необходимости установления переходного периода для смены или изменения правового регулирования:</w:t>
            </w:r>
          </w:p>
        </w:tc>
        <w:tc>
          <w:tcPr>
            <w:tcW w:w="7087" w:type="dxa"/>
          </w:tcPr>
          <w:p w:rsidR="00533771" w:rsidRDefault="00DE3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переходный период не установлен </w:t>
            </w:r>
          </w:p>
        </w:tc>
      </w:tr>
      <w:tr w:rsidR="00533771">
        <w:tc>
          <w:tcPr>
            <w:tcW w:w="3574" w:type="dxa"/>
          </w:tcPr>
          <w:p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Сведения об инициаторе (наименование, местонахождение и контактный телефон):</w:t>
            </w:r>
          </w:p>
        </w:tc>
        <w:tc>
          <w:tcPr>
            <w:tcW w:w="7087" w:type="dxa"/>
          </w:tcPr>
          <w:p w:rsidR="00533771" w:rsidRDefault="00DE3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Воронина Татьяна Валерьевна</w:t>
            </w:r>
          </w:p>
          <w:p w:rsidR="00533771" w:rsidRDefault="00DE3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Должность: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начальник отдела развития туризма Министерства экономического развития Забайкальского края</w:t>
            </w:r>
          </w:p>
          <w:p w:rsidR="00533771" w:rsidRDefault="00DE3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Телефон: (8 3022) 40-17-81</w:t>
            </w:r>
          </w:p>
          <w:p w:rsidR="00533771" w:rsidRDefault="00DE3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Адрес электронной почты: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US"/>
              </w:rPr>
              <w:t xml:space="preserve"> </w:t>
            </w:r>
            <w:hyperlink r:id="rId8" w:history="1">
              <w:r>
                <w:rPr>
                  <w:rStyle w:val="13"/>
                  <w:rFonts w:ascii="Times New Roman" w:eastAsia="Times New Roman" w:hAnsi="Times New Roman" w:cs="Times New Roman"/>
                  <w:i/>
                  <w:color w:val="000000"/>
                  <w:sz w:val="24"/>
                  <w:szCs w:val="24"/>
                  <w:u w:val="none"/>
                </w:rPr>
                <w:t>tourism</w:t>
              </w:r>
              <w:r>
                <w:rPr>
                  <w:rStyle w:val="13"/>
                  <w:rFonts w:ascii="Times New Roman" w:eastAsia="Times New Roman" w:hAnsi="Times New Roman" w:cs="Times New Roman"/>
                  <w:i/>
                  <w:color w:val="000000"/>
                  <w:sz w:val="24"/>
                  <w:szCs w:val="24"/>
                  <w:u w:val="none"/>
                  <w:lang w:eastAsia="en-US"/>
                </w:rPr>
                <w:t>@</w:t>
              </w:r>
              <w:r>
                <w:rPr>
                  <w:rStyle w:val="13"/>
                  <w:rFonts w:ascii="Times New Roman" w:eastAsia="Times New Roman" w:hAnsi="Times New Roman" w:cs="Times New Roman"/>
                  <w:i/>
                  <w:color w:val="000000"/>
                  <w:sz w:val="24"/>
                  <w:szCs w:val="24"/>
                  <w:u w:val="none"/>
                  <w:lang w:val="en-US" w:eastAsia="en-US"/>
                </w:rPr>
                <w:t>economy</w:t>
              </w:r>
              <w:r>
                <w:rPr>
                  <w:rStyle w:val="13"/>
                  <w:rFonts w:ascii="Times New Roman" w:eastAsia="Times New Roman" w:hAnsi="Times New Roman" w:cs="Times New Roman"/>
                  <w:i/>
                  <w:color w:val="000000"/>
                  <w:sz w:val="24"/>
                  <w:szCs w:val="24"/>
                  <w:u w:val="none"/>
                  <w:lang w:eastAsia="en-US"/>
                </w:rPr>
                <w:t>.</w:t>
              </w:r>
              <w:r>
                <w:rPr>
                  <w:rStyle w:val="13"/>
                  <w:rFonts w:ascii="Times New Roman" w:eastAsia="Times New Roman" w:hAnsi="Times New Roman" w:cs="Times New Roman"/>
                  <w:i/>
                  <w:color w:val="000000"/>
                  <w:sz w:val="24"/>
                  <w:szCs w:val="24"/>
                  <w:u w:val="none"/>
                  <w:lang w:val="en-US" w:eastAsia="en-US"/>
                </w:rPr>
                <w:t>e</w:t>
              </w:r>
              <w:r>
                <w:rPr>
                  <w:rStyle w:val="13"/>
                  <w:rFonts w:ascii="Times New Roman" w:eastAsia="Times New Roman" w:hAnsi="Times New Roman" w:cs="Times New Roman"/>
                  <w:i/>
                  <w:color w:val="000000"/>
                  <w:sz w:val="24"/>
                  <w:szCs w:val="24"/>
                  <w:u w:val="none"/>
                  <w:lang w:eastAsia="en-US"/>
                </w:rPr>
                <w:t>-</w:t>
              </w:r>
              <w:r>
                <w:rPr>
                  <w:rStyle w:val="13"/>
                  <w:rFonts w:ascii="Times New Roman" w:eastAsia="Times New Roman" w:hAnsi="Times New Roman" w:cs="Times New Roman"/>
                  <w:i/>
                  <w:color w:val="000000"/>
                  <w:sz w:val="24"/>
                  <w:szCs w:val="24"/>
                  <w:u w:val="none"/>
                  <w:lang w:val="en-US" w:eastAsia="en-US"/>
                </w:rPr>
                <w:t>zab</w:t>
              </w:r>
              <w:r>
                <w:rPr>
                  <w:rStyle w:val="13"/>
                  <w:rFonts w:ascii="Times New Roman" w:eastAsia="Times New Roman" w:hAnsi="Times New Roman" w:cs="Times New Roman"/>
                  <w:i/>
                  <w:color w:val="000000"/>
                  <w:sz w:val="24"/>
                  <w:szCs w:val="24"/>
                  <w:u w:val="none"/>
                  <w:lang w:eastAsia="en-US"/>
                </w:rPr>
                <w:t>.</w:t>
              </w:r>
              <w:r>
                <w:rPr>
                  <w:rStyle w:val="13"/>
                  <w:rFonts w:ascii="Times New Roman" w:eastAsia="Times New Roman" w:hAnsi="Times New Roman" w:cs="Times New Roman"/>
                  <w:i/>
                  <w:color w:val="000000"/>
                  <w:sz w:val="24"/>
                  <w:szCs w:val="24"/>
                  <w:u w:val="none"/>
                  <w:lang w:val="en-US" w:eastAsia="en-US"/>
                </w:rPr>
                <w:t>ru</w:t>
              </w:r>
            </w:hyperlink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  <w:tr w:rsidR="00533771">
        <w:trPr>
          <w:trHeight w:val="954"/>
        </w:trPr>
        <w:tc>
          <w:tcPr>
            <w:tcW w:w="3574" w:type="dxa"/>
          </w:tcPr>
          <w:p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Краткое изложение цели правового регулирования:</w:t>
            </w:r>
          </w:p>
        </w:tc>
        <w:tc>
          <w:tcPr>
            <w:tcW w:w="7087" w:type="dxa"/>
          </w:tcPr>
          <w:p w:rsidR="00533771" w:rsidRDefault="00DE361F" w:rsidP="00BC64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Финансовое обеспечение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 не возмещаемых в рамках иных направлений государственной поддержки затрат на реализацию проектов по формированию комфортной туристичес</w:t>
            </w:r>
            <w:r w:rsidR="00BC64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кой среды в Забайкальском крае </w:t>
            </w:r>
            <w:r w:rsidR="00B955BD">
              <w:rPr>
                <w:rFonts w:ascii="Times New Roman" w:eastAsia="Times New Roman" w:hAnsi="Times New Roman" w:cs="Times New Roman"/>
                <w:sz w:val="24"/>
                <w:szCs w:val="24"/>
              </w:rPr>
              <w:t>в части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организации благоустроенных санитарных зон на туристических объектах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маршрутах</w:t>
            </w:r>
          </w:p>
        </w:tc>
      </w:tr>
      <w:tr w:rsidR="00533771">
        <w:tc>
          <w:tcPr>
            <w:tcW w:w="3574" w:type="dxa"/>
          </w:tcPr>
          <w:p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Краткое описание проблемы, на решение которой направлено правовое регулирование:</w:t>
            </w:r>
          </w:p>
        </w:tc>
        <w:tc>
          <w:tcPr>
            <w:tcW w:w="7087" w:type="dxa"/>
          </w:tcPr>
          <w:p w:rsidR="00533771" w:rsidRPr="00412A7F" w:rsidRDefault="00412A7F" w:rsidP="00412A7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12A7F">
              <w:rPr>
                <w:rFonts w:ascii="Times New Roman" w:eastAsia="Calibri" w:hAnsi="Times New Roman" w:cs="Calibri"/>
                <w:bCs/>
                <w:sz w:val="24"/>
                <w:szCs w:val="24"/>
                <w:lang w:eastAsia="en-US"/>
              </w:rPr>
              <w:t xml:space="preserve">недостаточное </w:t>
            </w:r>
            <w:r w:rsidRPr="00412A7F">
              <w:rPr>
                <w:rFonts w:ascii="Times New Roman" w:eastAsia="Calibri" w:hAnsi="Times New Roman" w:cs="Calibri"/>
                <w:bCs/>
                <w:sz w:val="24"/>
                <w:szCs w:val="24"/>
                <w:lang w:eastAsia="en-US"/>
              </w:rPr>
              <w:t>обеспечение  благоустроенными санитарными зонами туристических объектов</w:t>
            </w:r>
            <w:r w:rsidR="00DE361F">
              <w:rPr>
                <w:rFonts w:ascii="Times New Roman" w:eastAsia="Calibri" w:hAnsi="Times New Roman" w:cs="Calibri"/>
                <w:bCs/>
                <w:sz w:val="24"/>
                <w:szCs w:val="24"/>
                <w:lang w:eastAsia="en-US"/>
              </w:rPr>
              <w:t xml:space="preserve"> в крае</w:t>
            </w:r>
            <w:r w:rsidRPr="00412A7F">
              <w:rPr>
                <w:rFonts w:ascii="Times New Roman" w:eastAsia="Calibri" w:hAnsi="Times New Roman" w:cs="Calibri"/>
                <w:bCs/>
                <w:sz w:val="24"/>
                <w:szCs w:val="24"/>
                <w:lang w:eastAsia="en-US"/>
              </w:rPr>
              <w:t>, в том числе объектов дорожного сервиса (включая автозаправочные станции) и их благоустройство</w:t>
            </w:r>
          </w:p>
        </w:tc>
      </w:tr>
      <w:tr w:rsidR="00533771">
        <w:trPr>
          <w:trHeight w:val="1225"/>
        </w:trPr>
        <w:tc>
          <w:tcPr>
            <w:tcW w:w="3574" w:type="dxa"/>
          </w:tcPr>
          <w:p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Срок, в течение которого уполномоченный орган принимает предложения и замечания к проекту нормативного правового акта: </w:t>
            </w:r>
          </w:p>
        </w:tc>
        <w:tc>
          <w:tcPr>
            <w:tcW w:w="7087" w:type="dxa"/>
          </w:tcPr>
          <w:p w:rsidR="00533771" w:rsidRDefault="005337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771" w:rsidRDefault="00DE361F" w:rsidP="00412A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412A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 </w:t>
            </w:r>
            <w:r w:rsidR="00412A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октября 2026 года (включительно)</w:t>
            </w:r>
          </w:p>
        </w:tc>
      </w:tr>
      <w:tr w:rsidR="00533771">
        <w:trPr>
          <w:trHeight w:val="706"/>
        </w:trPr>
        <w:tc>
          <w:tcPr>
            <w:tcW w:w="3574" w:type="dxa"/>
          </w:tcPr>
          <w:p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Способ представления предложений и замечаний к проекту нормативного правового акта:</w:t>
            </w:r>
          </w:p>
        </w:tc>
        <w:tc>
          <w:tcPr>
            <w:tcW w:w="7087" w:type="dxa"/>
          </w:tcPr>
          <w:p w:rsidR="00533771" w:rsidRDefault="00DE3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электронной почте на адрес: </w:t>
            </w:r>
          </w:p>
          <w:p w:rsidR="00533771" w:rsidRDefault="00DE3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ooltip="mailto:orv@economy.e-zab.ru" w:history="1">
              <w:r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orv</w:t>
              </w:r>
              <w:r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</w:rPr>
                <w:t>@economy.e-zab.ru</w:t>
              </w:r>
            </w:hyperlink>
          </w:p>
        </w:tc>
      </w:tr>
    </w:tbl>
    <w:p w:rsidR="00533771" w:rsidRDefault="0053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33771">
      <w:pgSz w:w="11906" w:h="16838"/>
      <w:pgMar w:top="284" w:right="567" w:bottom="142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771" w:rsidRDefault="00DE361F">
      <w:pPr>
        <w:spacing w:after="0" w:line="240" w:lineRule="auto"/>
      </w:pPr>
      <w:r>
        <w:separator/>
      </w:r>
    </w:p>
  </w:endnote>
  <w:endnote w:type="continuationSeparator" w:id="0">
    <w:p w:rsidR="00533771" w:rsidRDefault="00DE3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 Bold">
    <w:altName w:val="Malgun Gothic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771" w:rsidRDefault="00DE361F">
      <w:pPr>
        <w:spacing w:after="0" w:line="240" w:lineRule="auto"/>
      </w:pPr>
      <w:r>
        <w:separator/>
      </w:r>
    </w:p>
  </w:footnote>
  <w:footnote w:type="continuationSeparator" w:id="0">
    <w:p w:rsidR="00533771" w:rsidRDefault="00DE36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22AEC"/>
    <w:multiLevelType w:val="hybridMultilevel"/>
    <w:tmpl w:val="B6B60E18"/>
    <w:lvl w:ilvl="0" w:tplc="FA7649C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1A683F4">
      <w:start w:val="1"/>
      <w:numFmt w:val="lowerLetter"/>
      <w:lvlText w:val="%2."/>
      <w:lvlJc w:val="left"/>
      <w:pPr>
        <w:ind w:left="1440" w:hanging="360"/>
      </w:pPr>
    </w:lvl>
    <w:lvl w:ilvl="2" w:tplc="CF6A9A0E">
      <w:start w:val="1"/>
      <w:numFmt w:val="lowerRoman"/>
      <w:lvlText w:val="%3."/>
      <w:lvlJc w:val="right"/>
      <w:pPr>
        <w:ind w:left="2160" w:hanging="180"/>
      </w:pPr>
    </w:lvl>
    <w:lvl w:ilvl="3" w:tplc="AD700E28">
      <w:start w:val="1"/>
      <w:numFmt w:val="decimal"/>
      <w:lvlText w:val="%4."/>
      <w:lvlJc w:val="left"/>
      <w:pPr>
        <w:ind w:left="2880" w:hanging="360"/>
      </w:pPr>
    </w:lvl>
    <w:lvl w:ilvl="4" w:tplc="8DA8E174">
      <w:start w:val="1"/>
      <w:numFmt w:val="lowerLetter"/>
      <w:lvlText w:val="%5."/>
      <w:lvlJc w:val="left"/>
      <w:pPr>
        <w:ind w:left="3600" w:hanging="360"/>
      </w:pPr>
    </w:lvl>
    <w:lvl w:ilvl="5" w:tplc="BDEC9CD8">
      <w:start w:val="1"/>
      <w:numFmt w:val="lowerRoman"/>
      <w:lvlText w:val="%6."/>
      <w:lvlJc w:val="right"/>
      <w:pPr>
        <w:ind w:left="4320" w:hanging="180"/>
      </w:pPr>
    </w:lvl>
    <w:lvl w:ilvl="6" w:tplc="9DEAB080">
      <w:start w:val="1"/>
      <w:numFmt w:val="decimal"/>
      <w:lvlText w:val="%7."/>
      <w:lvlJc w:val="left"/>
      <w:pPr>
        <w:ind w:left="5040" w:hanging="360"/>
      </w:pPr>
    </w:lvl>
    <w:lvl w:ilvl="7" w:tplc="BE44C574">
      <w:start w:val="1"/>
      <w:numFmt w:val="lowerLetter"/>
      <w:lvlText w:val="%8."/>
      <w:lvlJc w:val="left"/>
      <w:pPr>
        <w:ind w:left="5760" w:hanging="360"/>
      </w:pPr>
    </w:lvl>
    <w:lvl w:ilvl="8" w:tplc="952C540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F414F"/>
    <w:multiLevelType w:val="hybridMultilevel"/>
    <w:tmpl w:val="7EEEF3E8"/>
    <w:lvl w:ilvl="0" w:tplc="D018AF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6CE4A16">
      <w:start w:val="1"/>
      <w:numFmt w:val="lowerLetter"/>
      <w:lvlText w:val="%2."/>
      <w:lvlJc w:val="left"/>
      <w:pPr>
        <w:ind w:left="1440" w:hanging="360"/>
      </w:pPr>
    </w:lvl>
    <w:lvl w:ilvl="2" w:tplc="B25ACD06">
      <w:start w:val="1"/>
      <w:numFmt w:val="lowerRoman"/>
      <w:lvlText w:val="%3."/>
      <w:lvlJc w:val="right"/>
      <w:pPr>
        <w:ind w:left="2160" w:hanging="180"/>
      </w:pPr>
    </w:lvl>
    <w:lvl w:ilvl="3" w:tplc="1540AC98">
      <w:start w:val="1"/>
      <w:numFmt w:val="decimal"/>
      <w:lvlText w:val="%4."/>
      <w:lvlJc w:val="left"/>
      <w:pPr>
        <w:ind w:left="2880" w:hanging="360"/>
      </w:pPr>
    </w:lvl>
    <w:lvl w:ilvl="4" w:tplc="C8AAD08C">
      <w:start w:val="1"/>
      <w:numFmt w:val="lowerLetter"/>
      <w:lvlText w:val="%5."/>
      <w:lvlJc w:val="left"/>
      <w:pPr>
        <w:ind w:left="3600" w:hanging="360"/>
      </w:pPr>
    </w:lvl>
    <w:lvl w:ilvl="5" w:tplc="12A0C1E6">
      <w:start w:val="1"/>
      <w:numFmt w:val="lowerRoman"/>
      <w:lvlText w:val="%6."/>
      <w:lvlJc w:val="right"/>
      <w:pPr>
        <w:ind w:left="4320" w:hanging="180"/>
      </w:pPr>
    </w:lvl>
    <w:lvl w:ilvl="6" w:tplc="4FD88FA0">
      <w:start w:val="1"/>
      <w:numFmt w:val="decimal"/>
      <w:lvlText w:val="%7."/>
      <w:lvlJc w:val="left"/>
      <w:pPr>
        <w:ind w:left="5040" w:hanging="360"/>
      </w:pPr>
    </w:lvl>
    <w:lvl w:ilvl="7" w:tplc="77847B2C">
      <w:start w:val="1"/>
      <w:numFmt w:val="lowerLetter"/>
      <w:lvlText w:val="%8."/>
      <w:lvlJc w:val="left"/>
      <w:pPr>
        <w:ind w:left="5760" w:hanging="360"/>
      </w:pPr>
    </w:lvl>
    <w:lvl w:ilvl="8" w:tplc="C8CCE7F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D672F"/>
    <w:multiLevelType w:val="hybridMultilevel"/>
    <w:tmpl w:val="852C50D8"/>
    <w:lvl w:ilvl="0" w:tplc="F65483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9FA86D6">
      <w:start w:val="1"/>
      <w:numFmt w:val="lowerLetter"/>
      <w:lvlText w:val="%2."/>
      <w:lvlJc w:val="left"/>
      <w:pPr>
        <w:ind w:left="1440" w:hanging="360"/>
      </w:pPr>
    </w:lvl>
    <w:lvl w:ilvl="2" w:tplc="642EA742">
      <w:start w:val="1"/>
      <w:numFmt w:val="lowerRoman"/>
      <w:lvlText w:val="%3."/>
      <w:lvlJc w:val="right"/>
      <w:pPr>
        <w:ind w:left="2160" w:hanging="180"/>
      </w:pPr>
    </w:lvl>
    <w:lvl w:ilvl="3" w:tplc="2D80FCB4">
      <w:start w:val="1"/>
      <w:numFmt w:val="decimal"/>
      <w:lvlText w:val="%4."/>
      <w:lvlJc w:val="left"/>
      <w:pPr>
        <w:ind w:left="2880" w:hanging="360"/>
      </w:pPr>
    </w:lvl>
    <w:lvl w:ilvl="4" w:tplc="31A0342C">
      <w:start w:val="1"/>
      <w:numFmt w:val="lowerLetter"/>
      <w:lvlText w:val="%5."/>
      <w:lvlJc w:val="left"/>
      <w:pPr>
        <w:ind w:left="3600" w:hanging="360"/>
      </w:pPr>
    </w:lvl>
    <w:lvl w:ilvl="5" w:tplc="CD141470">
      <w:start w:val="1"/>
      <w:numFmt w:val="lowerRoman"/>
      <w:lvlText w:val="%6."/>
      <w:lvlJc w:val="right"/>
      <w:pPr>
        <w:ind w:left="4320" w:hanging="180"/>
      </w:pPr>
    </w:lvl>
    <w:lvl w:ilvl="6" w:tplc="862246CC">
      <w:start w:val="1"/>
      <w:numFmt w:val="decimal"/>
      <w:lvlText w:val="%7."/>
      <w:lvlJc w:val="left"/>
      <w:pPr>
        <w:ind w:left="5040" w:hanging="360"/>
      </w:pPr>
    </w:lvl>
    <w:lvl w:ilvl="7" w:tplc="5B7AD688">
      <w:start w:val="1"/>
      <w:numFmt w:val="lowerLetter"/>
      <w:lvlText w:val="%8."/>
      <w:lvlJc w:val="left"/>
      <w:pPr>
        <w:ind w:left="5760" w:hanging="360"/>
      </w:pPr>
    </w:lvl>
    <w:lvl w:ilvl="8" w:tplc="BCBAA8C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C5810"/>
    <w:multiLevelType w:val="hybridMultilevel"/>
    <w:tmpl w:val="36F6D8F8"/>
    <w:lvl w:ilvl="0" w:tplc="3E20E2D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454E2CF0">
      <w:start w:val="1"/>
      <w:numFmt w:val="lowerLetter"/>
      <w:lvlText w:val="%2."/>
      <w:lvlJc w:val="left"/>
      <w:pPr>
        <w:ind w:left="1440" w:hanging="360"/>
      </w:pPr>
    </w:lvl>
    <w:lvl w:ilvl="2" w:tplc="7D5A4A46">
      <w:start w:val="1"/>
      <w:numFmt w:val="lowerRoman"/>
      <w:lvlText w:val="%3."/>
      <w:lvlJc w:val="right"/>
      <w:pPr>
        <w:ind w:left="2160" w:hanging="180"/>
      </w:pPr>
    </w:lvl>
    <w:lvl w:ilvl="3" w:tplc="E0EA04C6">
      <w:start w:val="1"/>
      <w:numFmt w:val="decimal"/>
      <w:lvlText w:val="%4."/>
      <w:lvlJc w:val="left"/>
      <w:pPr>
        <w:ind w:left="2880" w:hanging="360"/>
      </w:pPr>
    </w:lvl>
    <w:lvl w:ilvl="4" w:tplc="695C8226">
      <w:start w:val="1"/>
      <w:numFmt w:val="lowerLetter"/>
      <w:lvlText w:val="%5."/>
      <w:lvlJc w:val="left"/>
      <w:pPr>
        <w:ind w:left="3600" w:hanging="360"/>
      </w:pPr>
    </w:lvl>
    <w:lvl w:ilvl="5" w:tplc="668208B6">
      <w:start w:val="1"/>
      <w:numFmt w:val="lowerRoman"/>
      <w:lvlText w:val="%6."/>
      <w:lvlJc w:val="right"/>
      <w:pPr>
        <w:ind w:left="4320" w:hanging="180"/>
      </w:pPr>
    </w:lvl>
    <w:lvl w:ilvl="6" w:tplc="A720ECAE">
      <w:start w:val="1"/>
      <w:numFmt w:val="decimal"/>
      <w:lvlText w:val="%7."/>
      <w:lvlJc w:val="left"/>
      <w:pPr>
        <w:ind w:left="5040" w:hanging="360"/>
      </w:pPr>
    </w:lvl>
    <w:lvl w:ilvl="7" w:tplc="6ED0A3C0">
      <w:start w:val="1"/>
      <w:numFmt w:val="lowerLetter"/>
      <w:lvlText w:val="%8."/>
      <w:lvlJc w:val="left"/>
      <w:pPr>
        <w:ind w:left="5760" w:hanging="360"/>
      </w:pPr>
    </w:lvl>
    <w:lvl w:ilvl="8" w:tplc="A0F8D9B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7E63A6"/>
    <w:multiLevelType w:val="hybridMultilevel"/>
    <w:tmpl w:val="446EC43E"/>
    <w:lvl w:ilvl="0" w:tplc="1292BDF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B5760AD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B6E0B4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B08736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EC203B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E5EE74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BFC140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0A2C2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48E8C2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771"/>
    <w:rsid w:val="00412A7F"/>
    <w:rsid w:val="00533771"/>
    <w:rsid w:val="00B955BD"/>
    <w:rsid w:val="00BC6460"/>
    <w:rsid w:val="00DE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29DF"/>
  <w15:docId w15:val="{07D8AA24-D9D1-4929-B5AC-6ABA904F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0" w:line="240" w:lineRule="auto"/>
      <w:outlineLvl w:val="0"/>
    </w:pPr>
    <w:rPr>
      <w:rFonts w:ascii="PT Sans Bold" w:eastAsia="Times New Roman" w:hAnsi="PT Sans Bold" w:cs="Times New Roman"/>
      <w:color w:val="333333"/>
      <w:sz w:val="47"/>
      <w:szCs w:val="47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Calibri" w:hAnsi="Calibri" w:cs="Calibri"/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="PT Sans Bold" w:eastAsia="Times New Roman" w:hAnsi="PT Sans Bold" w:cs="Times New Roman"/>
      <w:color w:val="333333"/>
      <w:sz w:val="47"/>
      <w:szCs w:val="47"/>
      <w:lang w:eastAsia="ru-RU"/>
    </w:rPr>
  </w:style>
  <w:style w:type="character" w:styleId="af5">
    <w:name w:val="Hyperlink"/>
    <w:basedOn w:val="a0"/>
    <w:uiPriority w:val="99"/>
    <w:unhideWhenUsed/>
    <w:rPr>
      <w:color w:val="205891"/>
      <w:u w:val="single"/>
    </w:rPr>
  </w:style>
  <w:style w:type="paragraph" w:styleId="af6">
    <w:name w:val="Normal (Web)"/>
    <w:basedOn w:val="a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before="60" w:after="24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fb">
    <w:name w:val="Знак Знак Знак"/>
    <w:basedOn w:val="a"/>
    <w:uiPriority w:val="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c">
    <w:name w:val="footnote text"/>
    <w:basedOn w:val="a"/>
    <w:link w:val="afd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Pr>
      <w:sz w:val="20"/>
      <w:szCs w:val="20"/>
    </w:rPr>
  </w:style>
  <w:style w:type="character" w:styleId="afe">
    <w:name w:val="footnote reference"/>
    <w:basedOn w:val="a0"/>
    <w:uiPriority w:val="99"/>
    <w:semiHidden/>
    <w:unhideWhenUsed/>
    <w:rPr>
      <w:vertAlign w:val="superscript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Calibri" w:hAnsi="Calibri" w:cs="Calibri"/>
    </w:rPr>
  </w:style>
  <w:style w:type="character" w:customStyle="1" w:styleId="ConsPlusNormal0">
    <w:name w:val="ConsPlusNormal Знак"/>
    <w:link w:val="ConsPlusNormal"/>
    <w:rPr>
      <w:rFonts w:ascii="Calibri" w:hAnsi="Calibri" w:cs="Calibri"/>
    </w:rPr>
  </w:style>
  <w:style w:type="character" w:customStyle="1" w:styleId="13">
    <w:name w:val="Гиперссылка1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tourism@economy.e-za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rv@economy.e-z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65EAA-F080-4A33-9EAF-0B9CA0216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Игнатьева Ольга</cp:lastModifiedBy>
  <cp:revision>23</cp:revision>
  <dcterms:created xsi:type="dcterms:W3CDTF">2025-02-24T05:25:00Z</dcterms:created>
  <dcterms:modified xsi:type="dcterms:W3CDTF">2026-10-08T03:27:00Z</dcterms:modified>
</cp:coreProperties>
</file>