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3"/>
        <w:jc w:val="right"/>
        <w:spacing w:after="0" w:line="240" w:lineRule="auto"/>
        <w:rPr>
          <w:rFonts w:ascii="Times New Roman" w:hAnsi="Times New Roman"/>
          <w:bCs/>
          <w:sz w:val="24"/>
          <w:szCs w:val="24"/>
        </w:rPr>
        <w:outlineLvl w:val="0"/>
      </w:pP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СВОДНЫЙ </w:t>
      </w:r>
      <w:r>
        <w:rPr>
          <w:rFonts w:ascii="Times New Roman" w:hAnsi="Times New Roman"/>
          <w:b/>
          <w:bCs/>
          <w:sz w:val="24"/>
          <w:szCs w:val="24"/>
        </w:rPr>
        <w:t xml:space="preserve">ОТЧЕТ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для проведения </w:t>
      </w:r>
      <w:r>
        <w:rPr>
          <w:rFonts w:ascii="Times New Roman" w:hAnsi="Times New Roman"/>
          <w:b/>
          <w:bCs/>
          <w:sz w:val="24"/>
          <w:szCs w:val="24"/>
        </w:rPr>
        <w:t xml:space="preserve">оценки регулирующего воздействия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проекта нормативного правового акта Забайкальского края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903"/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Общая информация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934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3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3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1.1. Наименование исполнительного органа государственной власти Забайкальского края или иного субъекта права законодательной инициативы в соответствии с Законом Забайкальского края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 от 18 декабря 2009 года № 321-ЗЗК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 «О нормативных правовых актах Забайкальского края» - разработчика проекта нормативного правового акта Забайкальского края (далее соответственно – разработчик, проект НПА):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Министерство экономического развития Забайкальского края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(Минэкон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омразвития Забайкальского края)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344" w:type="dxa"/>
            <w:vAlign w:val="top"/>
            <w:textDirection w:val="lrTb"/>
            <w:noWrap w:val="false"/>
          </w:tcPr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1.2.</w:t>
            </w:r>
            <w:r>
              <w:rPr>
                <w:rFonts w:ascii="Times New Roman" w:hAnsi="Times New Roman" w:eastAsia="Calibri" w:cs="Calibri"/>
                <w:bCs/>
                <w:sz w:val="24"/>
                <w:szCs w:val="24"/>
                <w:lang w:eastAsia="en-US"/>
              </w:rPr>
              <w:t xml:space="preserve"> Сроки проведения публичного обсуждения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проекта НПА*: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Н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е проводились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3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1.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3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. Сведения о соисполнителях проекта НПА**: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Соисполнители отсутствуют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26"/>
        </w:trPr>
        <w:tc>
          <w:tcPr>
            <w:tcW w:w="93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1.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4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. Вид и наименование проекта НПА: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32"/>
              <w:jc w:val="both"/>
              <w:rPr>
                <w:b w:val="0"/>
              </w:rPr>
            </w:pPr>
            <w:r>
              <w:rPr>
                <w:rFonts w:eastAsia="Calibri" w:cs="Calibri"/>
                <w:b w:val="0"/>
                <w:bCs w:val="0"/>
                <w:lang w:eastAsia="en-US"/>
              </w:rPr>
              <w:t xml:space="preserve">П</w:t>
            </w:r>
            <w:r>
              <w:rPr>
                <w:rFonts w:eastAsia="Calibri" w:cs="Calibri"/>
                <w:b w:val="0"/>
                <w:bCs w:val="0"/>
                <w:lang w:eastAsia="en-US"/>
              </w:rPr>
              <w:t xml:space="preserve">роект постановления Прав</w:t>
            </w:r>
            <w:r>
              <w:rPr>
                <w:rFonts w:eastAsia="Calibri" w:cs="Calibri"/>
                <w:b w:val="0"/>
                <w:bCs w:val="0"/>
                <w:lang w:eastAsia="en-US"/>
              </w:rPr>
              <w:t xml:space="preserve">ительства </w:t>
            </w:r>
            <w:r>
              <w:rPr>
                <w:rFonts w:eastAsia="Calibri"/>
                <w:b w:val="0"/>
                <w:bCs w:val="0"/>
                <w:lang w:eastAsia="en-US"/>
              </w:rPr>
              <w:t xml:space="preserve">Забайкальского края </w:t>
            </w:r>
            <w:r>
              <w:rPr>
                <w:b w:val="0"/>
                <w:bCs w:val="0"/>
              </w:rPr>
              <w:t xml:space="preserve">«</w:t>
            </w:r>
            <w:r>
              <w:rPr>
                <w:b w:val="0"/>
                <w:bCs w:val="0"/>
              </w:rPr>
              <w:t xml:space="preserve">О внесении изменений в постановление Правительства Забайкальского края от 1 сентября 2022 года № 391 «</w:t>
            </w:r>
            <w:r>
              <w:rPr>
                <w:rFonts w:eastAsia="Calibri"/>
                <w:b w:val="0"/>
                <w:bCs w:val="0"/>
                <w:lang w:eastAsia="en-US"/>
              </w:rPr>
              <w:t xml:space="preserve">О некоторых вопросах предоставления из бюджета Забайкальского края финансовой поддержки в виде грантов в форме субсидий в сфере туризма</w:t>
            </w:r>
            <w:r>
              <w:rPr>
                <w:b w:val="0"/>
                <w:bCs w:val="0"/>
              </w:rPr>
              <w:t xml:space="preserve">»</w:t>
            </w: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3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1.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5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. Краткое описание проблемы, на решение которой направлено предлагаемое правовое регулирование, и оценка негативных эффектов, порождаемых наличием данной проблемы: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ind w:left="709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Проектом предлагается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numPr>
                <w:ilvl w:val="0"/>
                <w:numId w:val="16"/>
              </w:numPr>
              <w:ind w:left="0" w:firstLine="709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привести в соответствии с действующим законодательством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ind w:firstLine="709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Порядок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предоставления из бюджета Забайкальского края юридическим лицам (за исключением государственных (муниципальных) учреждений), индивидуальным предпринимателям, осуществляющим деятельность в сфере туризма, финансовой поддержки в виде грантов в форме субсидий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 (Порядок 1)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,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ind w:firstLine="709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Порядок</w:t>
            </w:r>
            <w:r>
              <w:rPr>
                <w:rFonts w:ascii="Times New Roman" w:hAnsi="Times New Roman" w:eastAsia="Calibri"/>
                <w:color w:val="000000"/>
                <w:sz w:val="24"/>
                <w:szCs w:val="24"/>
                <w:lang w:eastAsia="en-US"/>
              </w:rPr>
              <w:t xml:space="preserve"> предоставления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из бюджета Забайкальского края некоммерческим организациям, не являющимся казенными учреждениями, осуществляющим деятельность в сфере туризма, финансовой поддержки в виде грантов в форме субсидий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 (Порядок 2)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.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numPr>
                <w:ilvl w:val="0"/>
                <w:numId w:val="16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Р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асширить круг получателей субсидии (пункт 6 Порядка 1),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numPr>
                <w:ilvl w:val="0"/>
                <w:numId w:val="16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скорректировать направление затрат (пункт 12 Порядков 1 и 2),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numPr>
                <w:ilvl w:val="0"/>
                <w:numId w:val="16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уточнить значения результатов (пункт 15 Порядков 1 и 2),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numPr>
                <w:ilvl w:val="0"/>
                <w:numId w:val="16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изменить срок, в течение которого Министерство перечисляет средства гранта на счет получателя субсидии (пункт 51 Порядков 1 и 2),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numPr>
                <w:ilvl w:val="0"/>
                <w:numId w:val="16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уточнить описание проекта и методику оценки (Приложения № 1 и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№ 2 Порядков 1 и 2)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numPr>
                <w:ilvl w:val="0"/>
                <w:numId w:val="16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связи с тем, что к категории получателей субсидии могут относиться участники с ОКВЭДом класса «Деятельно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сть по предоставлению мест для временного проживания», в соответствии с подпунктом «б» пункта 2 постановления Правительства Забайкальского края от 27 декабря 2024 года № 1952 «Об утверждении правил классификации средств размещения и правил формирования и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едения единого реестра объектов классификации в сфере туристской индустрии» сведения о владельцах средств размещения и сведения о средствах размещения должны быть включены в единый реестр объектов классификации в сфере туристской индустрии (Порядки 1 и 2).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3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1.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6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. Основание для разработки проект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а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НПА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Постановление Правительства РФ от 25 октября 2023 № 1782, постановление Правительства РФ от 25 октября 2023 № 1781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постановление Правительства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Российской Федерации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 от 27 декабря 2024 года № 1952.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tabs>
                <w:tab w:val="left" w:pos="451" w:leader="none"/>
              </w:tabs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3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1.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7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. Краткое описание целей предлагаемого регулирования: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numPr>
                <w:ilvl w:val="0"/>
                <w:numId w:val="13"/>
              </w:numPr>
              <w:ind w:left="0" w:firstLine="709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Вносимые изменения расширяют перечень получателей субсидии.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numPr>
                <w:ilvl w:val="0"/>
                <w:numId w:val="13"/>
              </w:numPr>
              <w:ind w:left="0" w:firstLine="709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Направления расходования средств предполагают благоустройство туристических объектов и маршрутов в целях создания комфортных условий для туристов.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numPr>
                <w:ilvl w:val="0"/>
                <w:numId w:val="13"/>
              </w:numPr>
              <w:ind w:left="0" w:firstLine="709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Вводимы правила обязательной классификации для получателей субсидии – средств размещения соответствуют федеральным требованиям и  направлены на легализацию ИП и юл, осуществляющих коммерческую деятельность в сфере гостиничного бизнеса.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ind w:firstLine="709"/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55"/>
        </w:trPr>
        <w:tc>
          <w:tcPr>
            <w:tcW w:w="93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1.9. Контактная информация об исполнителе разработчика: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ind w:firstLine="454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Ф.И.О. (отчество – при наличии):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Воронина Татьяна Валерьевна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ind w:firstLine="454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Должность: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начальник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 отдела развития туризма Министерства экономического развития Забайкальского края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ind w:firstLine="454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color w:val="000000"/>
                <w:sz w:val="24"/>
                <w:szCs w:val="24"/>
                <w:lang w:eastAsia="en-US"/>
              </w:rPr>
              <w:t xml:space="preserve">Телефон: (8 3022) 40-17-81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ind w:firstLine="454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Адрес электронной почты:</w:t>
            </w:r>
            <w:r>
              <w:rPr>
                <w:rFonts w:ascii="Times New Roman" w:hAnsi="Times New Roman" w:eastAsia="Calibri" w:cs="Calibri"/>
                <w:i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fldChar w:fldCharType="begin"/>
            </w:r>
            <w:r>
              <w:rPr>
                <w:i/>
                <w:color w:val="000000"/>
                <w:sz w:val="24"/>
                <w:szCs w:val="24"/>
              </w:rPr>
              <w:instrText xml:space="preserve"> HYPERLINK "mailto: </w:instrTex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instrText xml:space="preserve">tourism</w:instrText>
            </w:r>
            <w:r>
              <w:rPr>
                <w:rFonts w:ascii="Times New Roman" w:hAnsi="Times New Roman" w:eastAsia="Calibri"/>
                <w:i/>
                <w:color w:val="000000"/>
                <w:sz w:val="24"/>
                <w:szCs w:val="24"/>
                <w:lang w:eastAsia="en-US"/>
              </w:rPr>
              <w:instrText xml:space="preserve">@</w:instrText>
            </w:r>
            <w:r>
              <w:rPr>
                <w:rFonts w:ascii="Times New Roman" w:hAnsi="Times New Roman" w:eastAsia="Calibri"/>
                <w:i/>
                <w:color w:val="000000"/>
                <w:sz w:val="24"/>
                <w:szCs w:val="24"/>
                <w:lang w:val="en-US" w:eastAsia="en-US"/>
              </w:rPr>
              <w:instrText xml:space="preserve">eco</w:instrText>
            </w:r>
            <w:r>
              <w:rPr>
                <w:rFonts w:ascii="Times New Roman" w:hAnsi="Times New Roman" w:eastAsia="Calibri" w:cs="Calibri"/>
                <w:i/>
                <w:color w:val="000000"/>
                <w:sz w:val="24"/>
                <w:szCs w:val="24"/>
                <w:lang w:val="en-US" w:eastAsia="en-US"/>
              </w:rPr>
              <w:instrText xml:space="preserve">nomy</w:instrText>
            </w:r>
            <w:r>
              <w:rPr>
                <w:rFonts w:ascii="Times New Roman" w:hAnsi="Times New Roman" w:eastAsia="Calibri" w:cs="Calibri"/>
                <w:i/>
                <w:color w:val="000000"/>
                <w:sz w:val="24"/>
                <w:szCs w:val="24"/>
                <w:lang w:eastAsia="en-US"/>
              </w:rPr>
              <w:instrText xml:space="preserve">.</w:instrText>
            </w:r>
            <w:r>
              <w:rPr>
                <w:rFonts w:ascii="Times New Roman" w:hAnsi="Times New Roman" w:eastAsia="Calibri" w:cs="Calibri"/>
                <w:i/>
                <w:color w:val="000000"/>
                <w:sz w:val="24"/>
                <w:szCs w:val="24"/>
                <w:lang w:val="en-US" w:eastAsia="en-US"/>
              </w:rPr>
              <w:instrText xml:space="preserve">e</w:instrText>
            </w:r>
            <w:r>
              <w:rPr>
                <w:rFonts w:ascii="Times New Roman" w:hAnsi="Times New Roman" w:eastAsia="Calibri" w:cs="Calibri"/>
                <w:i/>
                <w:color w:val="000000"/>
                <w:sz w:val="24"/>
                <w:szCs w:val="24"/>
                <w:lang w:eastAsia="en-US"/>
              </w:rPr>
              <w:instrText xml:space="preserve">-</w:instrText>
            </w:r>
            <w:r>
              <w:rPr>
                <w:rFonts w:ascii="Times New Roman" w:hAnsi="Times New Roman" w:eastAsia="Calibri" w:cs="Calibri"/>
                <w:i/>
                <w:color w:val="000000"/>
                <w:sz w:val="24"/>
                <w:szCs w:val="24"/>
                <w:lang w:val="en-US" w:eastAsia="en-US"/>
              </w:rPr>
              <w:instrText xml:space="preserve">zab</w:instrText>
            </w:r>
            <w:r>
              <w:rPr>
                <w:rFonts w:ascii="Times New Roman" w:hAnsi="Times New Roman" w:eastAsia="Calibri" w:cs="Calibri"/>
                <w:i/>
                <w:color w:val="000000"/>
                <w:sz w:val="24"/>
                <w:szCs w:val="24"/>
                <w:lang w:eastAsia="en-US"/>
              </w:rPr>
              <w:instrText xml:space="preserve">.</w:instrText>
            </w:r>
            <w:r>
              <w:rPr>
                <w:rFonts w:ascii="Times New Roman" w:hAnsi="Times New Roman" w:eastAsia="Calibri" w:cs="Calibri"/>
                <w:i/>
                <w:color w:val="000000"/>
                <w:sz w:val="24"/>
                <w:szCs w:val="24"/>
                <w:lang w:val="en-US" w:eastAsia="en-US"/>
              </w:rPr>
              <w:instrText xml:space="preserve">ru</w:instrText>
            </w:r>
            <w:r>
              <w:rPr>
                <w:i/>
                <w:color w:val="000000"/>
                <w:sz w:val="24"/>
                <w:szCs w:val="24"/>
              </w:rPr>
              <w:instrText xml:space="preserve">" </w:instrText>
            </w:r>
            <w:r>
              <w:rPr>
                <w:i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39"/>
                <w:i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Style w:val="939"/>
                <w:rFonts w:ascii="Times New Roman" w:hAnsi="Times New Roman"/>
                <w:i/>
                <w:color w:val="000000"/>
                <w:sz w:val="24"/>
                <w:szCs w:val="24"/>
                <w:u w:val="none"/>
              </w:rPr>
              <w:t xml:space="preserve">tourism</w:t>
            </w:r>
            <w:r>
              <w:rPr>
                <w:rStyle w:val="939"/>
                <w:rFonts w:ascii="Times New Roman" w:hAnsi="Times New Roman" w:eastAsia="Calibri"/>
                <w:i/>
                <w:color w:val="000000"/>
                <w:sz w:val="24"/>
                <w:szCs w:val="24"/>
                <w:u w:val="none"/>
                <w:lang w:eastAsia="en-US"/>
              </w:rPr>
              <w:t xml:space="preserve">@</w:t>
            </w:r>
            <w:r>
              <w:rPr>
                <w:rStyle w:val="939"/>
                <w:rFonts w:ascii="Times New Roman" w:hAnsi="Times New Roman" w:eastAsia="Calibri"/>
                <w:i/>
                <w:color w:val="000000"/>
                <w:sz w:val="24"/>
                <w:szCs w:val="24"/>
                <w:u w:val="none"/>
                <w:lang w:val="en-US" w:eastAsia="en-US"/>
              </w:rPr>
              <w:t xml:space="preserve">eco</w:t>
            </w:r>
            <w:r>
              <w:rPr>
                <w:rStyle w:val="939"/>
                <w:rFonts w:ascii="Times New Roman" w:hAnsi="Times New Roman" w:eastAsia="Calibri" w:cs="Calibri"/>
                <w:i/>
                <w:color w:val="000000"/>
                <w:sz w:val="24"/>
                <w:szCs w:val="24"/>
                <w:u w:val="none"/>
                <w:lang w:val="en-US" w:eastAsia="en-US"/>
              </w:rPr>
              <w:t xml:space="preserve">nomy</w:t>
            </w:r>
            <w:r>
              <w:rPr>
                <w:rStyle w:val="939"/>
                <w:rFonts w:ascii="Times New Roman" w:hAnsi="Times New Roman" w:eastAsia="Calibri" w:cs="Calibri"/>
                <w:i/>
                <w:color w:val="000000"/>
                <w:sz w:val="24"/>
                <w:szCs w:val="24"/>
                <w:u w:val="none"/>
                <w:lang w:eastAsia="en-US"/>
              </w:rPr>
              <w:t xml:space="preserve">.</w:t>
            </w:r>
            <w:r>
              <w:rPr>
                <w:rStyle w:val="939"/>
                <w:rFonts w:ascii="Times New Roman" w:hAnsi="Times New Roman" w:eastAsia="Calibri" w:cs="Calibri"/>
                <w:i/>
                <w:color w:val="000000"/>
                <w:sz w:val="24"/>
                <w:szCs w:val="24"/>
                <w:u w:val="none"/>
                <w:lang w:val="en-US" w:eastAsia="en-US"/>
              </w:rPr>
              <w:t xml:space="preserve">e</w:t>
            </w:r>
            <w:r>
              <w:rPr>
                <w:rStyle w:val="939"/>
                <w:rFonts w:ascii="Times New Roman" w:hAnsi="Times New Roman" w:eastAsia="Calibri" w:cs="Calibri"/>
                <w:i/>
                <w:color w:val="000000"/>
                <w:sz w:val="24"/>
                <w:szCs w:val="24"/>
                <w:u w:val="none"/>
                <w:lang w:eastAsia="en-US"/>
              </w:rPr>
              <w:t xml:space="preserve">-</w:t>
            </w:r>
            <w:r>
              <w:rPr>
                <w:rStyle w:val="939"/>
                <w:rFonts w:ascii="Times New Roman" w:hAnsi="Times New Roman" w:eastAsia="Calibri" w:cs="Calibri"/>
                <w:i/>
                <w:color w:val="000000"/>
                <w:sz w:val="24"/>
                <w:szCs w:val="24"/>
                <w:u w:val="none"/>
                <w:lang w:val="en-US" w:eastAsia="en-US"/>
              </w:rPr>
              <w:t xml:space="preserve">zab</w:t>
            </w:r>
            <w:r>
              <w:rPr>
                <w:rStyle w:val="939"/>
                <w:rFonts w:ascii="Times New Roman" w:hAnsi="Times New Roman" w:eastAsia="Calibri" w:cs="Calibri"/>
                <w:i/>
                <w:color w:val="000000"/>
                <w:sz w:val="24"/>
                <w:szCs w:val="24"/>
                <w:u w:val="none"/>
                <w:lang w:eastAsia="en-US"/>
              </w:rPr>
              <w:t xml:space="preserve">.</w:t>
            </w:r>
            <w:r>
              <w:rPr>
                <w:rStyle w:val="939"/>
                <w:rFonts w:ascii="Times New Roman" w:hAnsi="Times New Roman" w:eastAsia="Calibri" w:cs="Calibri"/>
                <w:i/>
                <w:color w:val="000000"/>
                <w:sz w:val="24"/>
                <w:szCs w:val="24"/>
                <w:u w:val="none"/>
                <w:lang w:val="en-US" w:eastAsia="en-US"/>
              </w:rPr>
              <w:t xml:space="preserve">ru</w:t>
            </w:r>
            <w:r>
              <w:rPr>
                <w:i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Calibri" w:cs="Calibri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</w:tbl>
    <w:p>
      <w:pPr>
        <w:pStyle w:val="903"/>
        <w:ind w:firstLine="72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ind w:firstLine="720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Предполагаемая степень регулирующего воздействия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ind w:firstLine="720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проекта НПА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ind w:firstLine="720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934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73"/>
        <w:gridCol w:w="467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72" w:type="dxa"/>
            <w:vAlign w:val="top"/>
            <w:textDirection w:val="lrTb"/>
            <w:noWrap w:val="false"/>
          </w:tcPr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2.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1. Степень регулирующего воздей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ствия проекта нормативного правового акта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4671" w:type="dxa"/>
            <w:vAlign w:val="center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низкая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9343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2.2. Обоснование отнесения проекта нормативного правового акта к определенной степени регулирующего воздействия***: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ind w:firstLine="426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highlight w:val="cyan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highlight w:val="cyan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highlight w:val="cyan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highlight w:val="cyan"/>
                <w:lang w:eastAsia="en-US"/>
              </w:rPr>
            </w:r>
          </w:p>
          <w:p>
            <w:pPr>
              <w:pStyle w:val="903"/>
              <w:ind w:firstLine="426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Проект нормативного правового акта предполагает установлени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е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 дополнительных обязательных требований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о включении сведений о средствах размещения в единый реестр объектов классификации в сфере туристской индустрии в соответствии с постановлением Правительства Забайкальского края от 27 декабря 2024 года № 1952 «О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 утверждении правил классификации средств размещения и правил формирования и ведения единого реестра объектов классификации в сфере туристской индустрии»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.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</w:tbl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Детальное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934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3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536"/>
        </w:trPr>
        <w:tc>
          <w:tcPr>
            <w:tcW w:w="93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3.1. Описание проблемы, на решение которой направлен предлагаемый                     способ регулирования, условий и факторов ее существования: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ind w:firstLine="567"/>
              <w:jc w:val="both"/>
              <w:spacing w:after="0" w:line="240" w:lineRule="auto"/>
              <w:rPr>
                <w:rFonts w:ascii="Times New Roman" w:hAnsi="Times New Roman" w:eastAsia="Calibri" w:cs="Calibri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Calibri"/>
                <w:b w:val="0"/>
                <w:bCs w:val="0"/>
                <w:sz w:val="24"/>
                <w:szCs w:val="24"/>
                <w:lang w:eastAsia="en-US"/>
              </w:rPr>
              <w:t xml:space="preserve">Требуется максимальное обеспечение </w:t>
            </w:r>
            <w:r>
              <w:rPr>
                <w:rFonts w:ascii="Times New Roman" w:hAnsi="Times New Roman" w:eastAsia="Calibri" w:cs="Calibri"/>
                <w:b w:val="0"/>
                <w:bCs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Calibri"/>
                <w:b w:val="0"/>
                <w:bCs w:val="0"/>
                <w:sz w:val="24"/>
                <w:szCs w:val="24"/>
                <w:lang w:eastAsia="en-US"/>
              </w:rPr>
              <w:t xml:space="preserve">благоустроенными санитарными зонами туристических объектов, в том числе объектов дорожного сервиса</w:t>
            </w:r>
            <w:r>
              <w:rPr>
                <w:rFonts w:ascii="Times New Roman" w:hAnsi="Times New Roman" w:eastAsia="Calibri" w:cs="Calibri"/>
                <w:b w:val="0"/>
                <w:bCs w:val="0"/>
                <w:sz w:val="24"/>
                <w:szCs w:val="24"/>
                <w:lang w:eastAsia="en-US"/>
              </w:rPr>
              <w:t xml:space="preserve"> (включая автозаправочные станции)</w:t>
            </w:r>
            <w:r>
              <w:rPr>
                <w:rFonts w:ascii="Times New Roman" w:hAnsi="Times New Roman" w:eastAsia="Calibri" w:cs="Calibri"/>
                <w:b w:val="0"/>
                <w:bCs w:val="0"/>
                <w:sz w:val="24"/>
                <w:szCs w:val="24"/>
                <w:lang w:eastAsia="en-US"/>
              </w:rPr>
              <w:t xml:space="preserve"> и их благоустройство</w:t>
            </w:r>
            <w:r>
              <w:rPr>
                <w:rFonts w:ascii="Times New Roman" w:hAnsi="Times New Roman" w:eastAsia="Calibri" w:cs="Calibri"/>
                <w:b w:val="0"/>
                <w:bCs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Calibri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Calibri" w:cs="Calibri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3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3.2. Негативные эффекты, возникающие в связи с наличием проблемы: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Отсутствие комфортных условий на большинстве туробъектов и турмаршрутах, в том числе на объектах дорожного сервиса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3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3.3. Перечень действующих нормативных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 правовых актов (их положений), уста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навливающих правовое регулирование: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Постановление Правительства РФ от 25 октября 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субсидий»,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Постановление Правительства РФ от 25 октября 2023 № 1781 «Об утверждении п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услуг»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,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Постановление Правительства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Российской Федерации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 от 27 декабря 2024 года № 1952 «О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 утверждении правил классификации средств размещения и правил формирования и ведения единого реестра объектов классификации в сфере туристской индустрии»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3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3.4. Описание условий, при которых проблема может быть решена в целом без вмешательства со стороны государства: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Без вмешательства со стороны государства проблема не может быть решена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3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widowControl w:val="off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3.5. Источники данных: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widowControl w:val="off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справочная правовая система Консультант Плюс,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информационно-справочная система в сети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Интернет.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3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widowControl w:val="off"/>
              <w:tabs>
                <w:tab w:val="left" w:pos="9498" w:leader="none"/>
              </w:tabs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3.6. Количественные характеристики и иная информация о проблеме: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ind w:firstLine="709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Отсутствует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</w:tc>
      </w:tr>
    </w:tbl>
    <w:p>
      <w:pPr>
        <w:pStyle w:val="903"/>
        <w:ind w:firstLine="720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Анализ опыта субъектов Российской </w:t>
      </w:r>
      <w:r>
        <w:rPr>
          <w:rFonts w:ascii="Times New Roman" w:hAnsi="Times New Roman"/>
          <w:sz w:val="24"/>
          <w:szCs w:val="24"/>
        </w:rPr>
        <w:t xml:space="preserve">Федерации в соответствующих сфе</w:t>
      </w:r>
      <w:r>
        <w:rPr>
          <w:rFonts w:ascii="Times New Roman" w:hAnsi="Times New Roman"/>
          <w:sz w:val="24"/>
          <w:szCs w:val="24"/>
        </w:rPr>
        <w:t xml:space="preserve">рах деятельности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ind w:firstLine="720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934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3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3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4.1 Опыт субъектов Российской Федерации в соответствующих сферах деятельности: </w:t>
            </w:r>
            <w:r/>
          </w:p>
          <w:p>
            <w:pPr>
              <w:pStyle w:val="903"/>
              <w:jc w:val="both"/>
              <w:keepNext/>
              <w:spacing w:after="0" w:line="240" w:lineRule="auto"/>
              <w:rPr>
                <w:rFonts w:ascii="Times New Roman" w:hAnsi="Times New Roman" w:eastAsia="Calibri" w:cs="Calibri"/>
                <w:bCs/>
                <w:sz w:val="24"/>
                <w:szCs w:val="24"/>
                <w:lang w:eastAsia="en-US"/>
              </w:rPr>
              <w:outlineLvl w:val="0"/>
            </w:pPr>
            <w:r>
              <w:rPr>
                <w:rFonts w:ascii="Times New Roman" w:hAnsi="Times New Roman" w:eastAsia="Calibri" w:cs="Calibri"/>
                <w:bCs/>
                <w:sz w:val="24"/>
                <w:szCs w:val="24"/>
                <w:lang w:eastAsia="en-US"/>
              </w:rPr>
              <w:t xml:space="preserve">Опыт субъектов Российской Федерации не рассматривался в рамках принятия проекта постановления.</w:t>
            </w:r>
            <w:r>
              <w:rPr>
                <w:rFonts w:ascii="Times New Roman" w:hAnsi="Times New Roman" w:eastAsia="Calibri" w:cs="Calibri"/>
                <w:bCs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bCs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widowControl w:val="off"/>
              <w:tabs>
                <w:tab w:val="left" w:pos="9498" w:leader="none"/>
              </w:tabs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4.2. Источники данных: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Отсутствуют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</w:tbl>
    <w:p>
      <w:pPr>
        <w:pStyle w:val="903"/>
        <w:ind w:firstLine="720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Цели предлагаемого регулирования и их соответствие принципам правового регулирования, программным документам Правительства Российской Федерации, Правительства Забайкальского края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942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897"/>
        <w:gridCol w:w="2881"/>
        <w:gridCol w:w="364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395"/>
        </w:trPr>
        <w:tc>
          <w:tcPr>
            <w:tcW w:w="2897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5.1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Цели предлагаемого правового ре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гулирования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2881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5.2. Установленные сроки достижения целей предлагаемого правового регулирования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3642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5.3.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Ключевые показатели достижения целей предлагаемого правового регулирования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12"/>
        </w:trPr>
        <w:tc>
          <w:tcPr>
            <w:tcW w:w="2897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Финансовое обеспечение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части не возмещаемых в рамках иных направлений государственной поддержки затрат на реализацию проектов по формированию комфортной туристической среды в Забайкальском крае, в том числе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организации благоустроенных санитарных зон на туристических объектах и маршрутах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2881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highlight w:val="cyan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2026-2027</w:t>
            </w:r>
            <w:r>
              <w:rPr>
                <w:rFonts w:ascii="Times New Roman" w:hAnsi="Times New Roman" w:eastAsia="Calibri" w:cs="Calibri"/>
                <w:sz w:val="24"/>
                <w:szCs w:val="24"/>
                <w:highlight w:val="cyan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highlight w:val="cyan"/>
                <w:lang w:eastAsia="en-US"/>
              </w:rPr>
            </w:r>
          </w:p>
        </w:tc>
        <w:tc>
          <w:tcPr>
            <w:tcW w:w="3642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количество созданных благоустроенных туалетов, с обеспечением знаками туристической навигации (вывески, указатели и пр.),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количество обустроенных зон отдыха на туристических объектах и маршрутах,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395"/>
        </w:trPr>
        <w:tc>
          <w:tcPr>
            <w:gridSpan w:val="3"/>
            <w:tcW w:w="9420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5.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4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. Обоснование соответствия целей предлагаемого правового регулирования принципам правового регулирования, программным документам: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ind w:firstLine="426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Государственная программа Забайкальского края «Эконо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мическое развитие», утвержденная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 постановлением Правительства Забайкальского края от 23 апреля 2014 года № 220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.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21"/>
        </w:trPr>
        <w:tc>
          <w:tcPr>
            <w:gridSpan w:val="3"/>
            <w:tcW w:w="9420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5.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5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. Источники информации для расчета ключевых показателей достижения целей предлагаемого правового регулирования: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tabs>
                <w:tab w:val="left" w:pos="1485" w:leader="none"/>
                <w:tab w:val="center" w:pos="15732" w:leader="none"/>
              </w:tabs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</w:tbl>
    <w:p>
      <w:pPr>
        <w:pStyle w:val="903"/>
        <w:ind w:firstLine="720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ind w:firstLine="720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Описание содержания предлагаемого правового регулирования и альтернативных вариантов решения проблемы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ind w:firstLine="720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944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4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31"/>
        </w:trPr>
        <w:tc>
          <w:tcPr>
            <w:tcW w:w="94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widowControl w:val="off"/>
              <w:tabs>
                <w:tab w:val="left" w:pos="9498" w:leader="none"/>
              </w:tabs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6.1. Описание предлагаемого способа решения проблемы и преодоления связанных с ней негативных эффекто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в: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widowControl w:val="off"/>
              <w:tabs>
                <w:tab w:val="left" w:pos="9498" w:leader="none"/>
              </w:tabs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widowControl w:val="off"/>
              <w:tabs>
                <w:tab w:val="left" w:pos="9498" w:leader="none"/>
              </w:tabs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Проект нормативного правового акта предполагает установление дополнительных обязательных требований по предоставлению в составе заявки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договора присоединения, соответствие требованиям, а также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требованию  к участнику отбора на даты  рассмотрения  заявки и заключения соглашения   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о включении сведений о владельцах средств размещения и сведений о средствах размещения в единый реестр объектов классификации в сфере туристской индустрии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widowControl w:val="off"/>
              <w:tabs>
                <w:tab w:val="left" w:pos="9498" w:leader="none"/>
              </w:tabs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1"/>
        </w:trPr>
        <w:tc>
          <w:tcPr>
            <w:tcW w:w="94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widowControl w:val="off"/>
              <w:tabs>
                <w:tab w:val="left" w:pos="9498" w:leader="none"/>
              </w:tabs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6.2. Описание альтернативных вариантов решения проблемы (с указанием того, каким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об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разом каждым из способов могла бы быть решена проблема)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widowControl w:val="off"/>
              <w:tabs>
                <w:tab w:val="left" w:pos="9498" w:leader="none"/>
              </w:tabs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Проблема не имеет а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льтернативных вариантов решения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1"/>
        </w:trPr>
        <w:tc>
          <w:tcPr>
            <w:tcW w:w="94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6.3. Обоснование выбора предлага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емого способа решения проблемы: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Обязанность   предоставления в составе заявки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договора присоединения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позволит подтвердить законность присоединения к дорогам общего пользования федерального и регионального значений.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521"/>
        </w:trPr>
        <w:tc>
          <w:tcPr>
            <w:tcW w:w="94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6.4. Описание выявленных последствий, к которым приведут предлагаемые варианты решения проблемы, информация об их эффективности и результативности (включая затраты и выгоды):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Наличие договора присоединения позволит подтвердить законность присоединения к дорогам общего пользования федерального и регионального значений.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</w:tbl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Основные группы субъектов предпринимательской и иной экономической деятельности, иные заинтересованные лица, интересы которых будут затронуты предлагаемым правовым регулированием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93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077"/>
        <w:gridCol w:w="529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693"/>
        </w:trPr>
        <w:tc>
          <w:tcPr>
            <w:tcW w:w="4077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7.1. Группа участников отношений: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Исполнительный орган государственной власти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юридические лица (за исключением государственных (муниципальных) учреждений), ИП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</w:tc>
        <w:tc>
          <w:tcPr>
            <w:tcW w:w="5291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7.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2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 Оценка к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оличества участников отношений: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ИП и юр.лица, осуществляющие деятельность в сфере туризма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11"/>
        </w:trPr>
        <w:tc>
          <w:tcPr>
            <w:tcW w:w="4077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7.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3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. описание и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ных групп участников отношений: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r>
          </w:p>
        </w:tc>
        <w:tc>
          <w:tcPr>
            <w:tcW w:w="5291" w:type="dxa"/>
            <w:vAlign w:val="top"/>
            <w:textDirection w:val="lrTb"/>
            <w:noWrap w:val="false"/>
          </w:tcPr>
          <w:p>
            <w:pPr>
              <w:pStyle w:val="903"/>
              <w:spacing w:after="0" w:line="240" w:lineRule="auto"/>
              <w:rPr>
                <w:rFonts w:ascii="Times New Roman" w:hAnsi="Times New Roman" w:eastAsia="Calibri"/>
                <w:color w:val="ffffff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На иные категории правовое регулирование не распространяется</w:t>
            </w:r>
            <w:r>
              <w:rPr>
                <w:rFonts w:ascii="Times New Roman" w:hAnsi="Times New Roman" w:eastAsia="Calibri"/>
                <w:color w:val="ffffff"/>
                <w:sz w:val="24"/>
                <w:szCs w:val="24"/>
                <w:vertAlign w:val="superscript"/>
                <w:lang w:eastAsia="en-US"/>
              </w:rPr>
            </w:r>
            <w:r>
              <w:rPr>
                <w:rFonts w:ascii="Times New Roman" w:hAnsi="Times New Roman" w:eastAsia="Calibri"/>
                <w:color w:val="ffffff"/>
                <w:sz w:val="24"/>
                <w:szCs w:val="24"/>
                <w:vertAlign w:val="superscript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29"/>
        </w:trPr>
        <w:tc>
          <w:tcPr>
            <w:gridSpan w:val="2"/>
            <w:tcW w:w="9368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7.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4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. Источники данных: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</w:tbl>
    <w:p>
      <w:pPr>
        <w:pStyle w:val="903"/>
        <w:ind w:firstLine="720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ind w:firstLine="720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Оценка соответствующих расходов бюджета Забайкальского края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ind w:firstLine="720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934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830"/>
        <w:gridCol w:w="3827"/>
        <w:gridCol w:w="268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30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8.1 Наименование новой или изменяемой функции, полномочия, обязанности или права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, вводимых предлагаемым регулированием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3827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8.2. Описание видов расходов бюджета Забайкальского края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2687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8.3. Количественная оценка расходов и возможных поступлений, рублей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3"/>
            <w:tcW w:w="9344" w:type="dxa"/>
            <w:vAlign w:val="top"/>
            <w:textDirection w:val="lrTb"/>
            <w:noWrap w:val="false"/>
          </w:tcPr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участника регулирования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30" w:type="dxa"/>
            <w:vAlign w:val="top"/>
            <w:vMerge w:val="restart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Новых функций, полномочий, за исключением предусмотренных действующим нормативным правовым актом, не предусмотрено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3827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Единовременные расходы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в 202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6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 году: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2687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0,00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30" w:type="dxa"/>
            <w:vAlign w:val="top"/>
            <w:vMerge w:val="continue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3827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Периодические расходы за период </w:t>
            </w:r>
            <w:r>
              <w:rPr>
                <w:rFonts w:ascii="Times New Roman" w:hAnsi="Times New Roman" w:eastAsia="Calibri" w:cs="Calibri"/>
                <w:sz w:val="24"/>
                <w:szCs w:val="24"/>
                <w:u w:val="single"/>
                <w:lang w:eastAsia="en-US"/>
              </w:rPr>
              <w:t xml:space="preserve">   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202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6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-202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7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г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г.: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2687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0,00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30" w:type="dxa"/>
            <w:vAlign w:val="top"/>
            <w:vMerge w:val="continue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3827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Возможные поступления за  период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 202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6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-202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7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г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г.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2687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0,00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657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Итого единовременные расходы: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2687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0,00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657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Итого периодические расходы за период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202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6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-202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7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г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г.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2687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0,00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657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Итого возможные поступления за период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202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6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-202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7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г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г.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2687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0,00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3"/>
            <w:tcW w:w="93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8.4. Иные сведения о расходах (возможных поступлениях) бюджета Забайкальского края: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Иных расходов, связанных с предлагаемым регулированием, не предусмотрено.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3"/>
            <w:tcW w:w="9344" w:type="dxa"/>
            <w:vAlign w:val="top"/>
            <w:textDirection w:val="lrTb"/>
            <w:noWrap w:val="false"/>
          </w:tcPr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8.5. Источники данных: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</w:tbl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Новые обязанности, ответственность или ограничения для субъектов предпринимательской и иной экономической деятельности либо изменение содержания существующих обязанностей, ответственности и ограничений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934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376"/>
        <w:gridCol w:w="4994"/>
        <w:gridCol w:w="19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376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9.1. Группа участников отношений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4994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9.2. Описание новых обязанностей, ответственности и ограничений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1974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9.3. Описание отменяемых обязанностей, ответственности, запретов или ограничений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376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vertAlign w:val="subscript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юридические лица (за исключением государственных (муниципальных) учреждений), ИП</w:t>
            </w:r>
            <w:r>
              <w:rPr>
                <w:rFonts w:ascii="Times New Roman" w:hAnsi="Times New Roman" w:eastAsia="Calibri" w:cs="Calibri"/>
                <w:sz w:val="24"/>
                <w:szCs w:val="24"/>
                <w:vertAlign w:val="subscript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vertAlign w:val="subscript"/>
                <w:lang w:eastAsia="en-US"/>
              </w:rPr>
            </w:r>
          </w:p>
        </w:tc>
        <w:tc>
          <w:tcPr>
            <w:tcW w:w="4994" w:type="dxa"/>
            <w:vAlign w:val="top"/>
            <w:textDirection w:val="lrTb"/>
            <w:noWrap w:val="false"/>
          </w:tcPr>
          <w:p>
            <w:pPr>
              <w:pStyle w:val="903"/>
              <w:ind w:firstLine="709"/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Новая обязанность: предоставление участниками отбора в составе заявки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направлениям затрат, предусмотренных п. пунктом 12  Порядка 1, договора присоединения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74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отсутствуют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</w:tbl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Оценка расходов и доходов субъектов предпринимательской и иной экономической деятельности, связанных с необходимостью соблюдения установленных обязанностей и ответственности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935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31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115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10.1 Группа участников отношений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3115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10.2. Описание новых или изменения содержания существующих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обязанностей, ограничений и ответственности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3120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10.3. Описание и оценка видов расходов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115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отсутствуют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3115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отсутствуют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3120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отсутствуют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3"/>
            <w:tcW w:w="9350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widowControl w:val="off"/>
              <w:tabs>
                <w:tab w:val="left" w:pos="9498" w:leader="none"/>
              </w:tabs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0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.4. Источники данных: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</w:tbl>
    <w:p>
      <w:pPr>
        <w:pStyle w:val="903"/>
        <w:ind w:firstLine="720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ind w:firstLine="720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</w:t>
      </w:r>
      <w:r>
        <w:rPr>
          <w:rFonts w:ascii="Times New Roman" w:hAnsi="Times New Roman"/>
          <w:sz w:val="24"/>
          <w:szCs w:val="24"/>
        </w:rPr>
        <w:t xml:space="preserve">1</w:t>
      </w:r>
      <w:r>
        <w:rPr>
          <w:rFonts w:ascii="Times New Roman" w:hAnsi="Times New Roman"/>
          <w:sz w:val="24"/>
          <w:szCs w:val="24"/>
        </w:rPr>
        <w:t xml:space="preserve">. Риски решения проблемы предложенным способом регулирования и риски негативных последствий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ind w:firstLine="720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934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73"/>
        <w:gridCol w:w="467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72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.1. Риски решения проблемы предложенным способом и риски негативных последствий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4671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.2. Оценка вероятности наступления рисков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72" w:type="dxa"/>
            <w:vAlign w:val="top"/>
            <w:textDirection w:val="lrTb"/>
            <w:noWrap w:val="false"/>
          </w:tcPr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Риски решения проблемы предложенным способом отсутствуют.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  <w:tc>
          <w:tcPr>
            <w:tcW w:w="4671" w:type="dxa"/>
            <w:vAlign w:val="top"/>
            <w:textDirection w:val="lrTb"/>
            <w:noWrap w:val="false"/>
          </w:tcPr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Вероятность наступления рисков отсутствует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9343" w:type="dxa"/>
            <w:vAlign w:val="top"/>
            <w:textDirection w:val="lrTb"/>
            <w:noWrap w:val="false"/>
          </w:tcPr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.3. Источники данных: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</w:tbl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Предполагаемая дата вступления в силу проекта нормативного правового акта, необходимость установления переходных положений (переходного периода)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934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530"/>
        <w:gridCol w:w="48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9343" w:type="dxa"/>
            <w:vAlign w:val="top"/>
            <w:textDirection w:val="lrTb"/>
            <w:noWrap w:val="false"/>
          </w:tcPr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2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.1.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Предполагаемая дата вступления в силу проекта нормативного правового акта: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15 июня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2026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 года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530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2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.2. Необходимость установления переходных положений (переходного периода):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vertAlign w:val="subscript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Нет</w:t>
            </w:r>
            <w:r>
              <w:rPr>
                <w:rFonts w:ascii="Times New Roman" w:hAnsi="Times New Roman" w:eastAsia="Calibri" w:cs="Calibri"/>
                <w:sz w:val="24"/>
                <w:szCs w:val="24"/>
                <w:vertAlign w:val="subscript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vertAlign w:val="subscript"/>
                <w:lang w:eastAsia="en-US"/>
              </w:rPr>
            </w:r>
          </w:p>
        </w:tc>
        <w:tc>
          <w:tcPr>
            <w:tcW w:w="4813" w:type="dxa"/>
            <w:vAlign w:val="top"/>
            <w:textDirection w:val="lrTb"/>
            <w:noWrap w:val="false"/>
          </w:tcPr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1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2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.3. Срок (если есть необходимость)</w:t>
            </w:r>
            <w:r>
              <w:rPr>
                <w:rFonts w:ascii="Times New Roman" w:hAnsi="Times New Roman" w:eastAsia="Calibri" w:cs="Calibri"/>
                <w:sz w:val="24"/>
                <w:szCs w:val="24"/>
                <w:u w:val="single"/>
                <w:lang w:eastAsia="en-US"/>
              </w:rPr>
              <w:t xml:space="preserve">                        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center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vertAlign w:val="subscript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Нет</w:t>
            </w:r>
            <w:r>
              <w:rPr>
                <w:rFonts w:ascii="Times New Roman" w:hAnsi="Times New Roman" w:eastAsia="Calibri" w:cs="Calibri"/>
                <w:sz w:val="24"/>
                <w:szCs w:val="24"/>
                <w:vertAlign w:val="subscript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vertAlign w:val="subscript"/>
                <w:lang w:eastAsia="en-US"/>
              </w:rPr>
            </w:r>
          </w:p>
        </w:tc>
      </w:tr>
    </w:tbl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</w:t>
      </w:r>
      <w:r>
        <w:rPr>
          <w:rFonts w:ascii="Times New Roman" w:hAnsi="Times New Roman"/>
          <w:sz w:val="24"/>
          <w:szCs w:val="24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 Иные сведения (при наличии информации):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934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3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344" w:type="dxa"/>
            <w:vAlign w:val="top"/>
            <w:textDirection w:val="lrTb"/>
            <w:noWrap w:val="false"/>
          </w:tcPr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  <w:p>
            <w:pPr>
              <w:pStyle w:val="903"/>
              <w:jc w:val="both"/>
              <w:spacing w:after="0" w:line="240" w:lineRule="auto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  <w:t xml:space="preserve">Иные сведения отсутствуют</w:t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r>
          </w:p>
        </w:tc>
      </w:tr>
    </w:tbl>
    <w:p>
      <w:pPr>
        <w:pStyle w:val="903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</w:t>
      </w:r>
      <w:r>
        <w:rPr>
          <w:rFonts w:ascii="Times New Roman" w:hAnsi="Times New Roman"/>
          <w:sz w:val="24"/>
          <w:szCs w:val="24"/>
        </w:rPr>
        <w:t xml:space="preserve"> Указываются в случае проведения разработчиком публичных обсуждений проекта НПА.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**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Указываются при наличии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3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***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Указывается в соответствии с пунктом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</w:rPr>
        <w:t xml:space="preserve"> Порядка </w:t>
      </w:r>
      <w:r>
        <w:rPr>
          <w:rFonts w:ascii="Times New Roman" w:hAnsi="Times New Roman"/>
          <w:sz w:val="24"/>
          <w:szCs w:val="24"/>
        </w:rPr>
        <w:t xml:space="preserve">проведения оценки регулирующего воздействия</w:t>
      </w:r>
      <w:r>
        <w:rPr>
          <w:rFonts w:ascii="Times New Roman" w:hAnsi="Times New Roman"/>
          <w:sz w:val="24"/>
          <w:szCs w:val="24"/>
        </w:rPr>
        <w:t xml:space="preserve"> проектов нормативных правовых актов Забайкальского края, экспертизы и оценки фактического воздействия нормативных правовых актов Забайкальского края, затрагивающих вопросы осуществления предпринимательской, инвестиционной и иной экономической деятельности</w:t>
      </w:r>
      <w:r>
        <w:rPr>
          <w:rFonts w:ascii="Times New Roman" w:hAnsi="Times New Roman"/>
          <w:sz w:val="24"/>
          <w:szCs w:val="24"/>
        </w:rPr>
        <w:t xml:space="preserve">, утвержденного постановлением </w:t>
      </w:r>
      <w:r>
        <w:rPr>
          <w:rFonts w:ascii="Times New Roman" w:hAnsi="Times New Roman"/>
          <w:sz w:val="24"/>
          <w:szCs w:val="24"/>
        </w:rPr>
        <w:t xml:space="preserve">Губернатора Забайкальского края от 27 декабря 2013 года №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80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567" w:bottom="1134" w:left="1985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ahoma">
    <w:panose1 w:val="020B06060405040202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jc w:val="center"/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7</w:t>
    </w:r>
    <w:r>
      <w:rPr>
        <w:rFonts w:ascii="Times New Roman" w:hAnsi="Times New Roman"/>
        <w:sz w:val="28"/>
        <w:szCs w:val="28"/>
      </w:rPr>
      <w:fldChar w:fldCharType="end"/>
    </w:r>
    <w:r/>
  </w:p>
  <w:p>
    <w:pPr>
      <w:pStyle w:val="90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jc w:val="center"/>
    </w:pPr>
    <w:r/>
    <w:r/>
  </w:p>
  <w:p>
    <w:pPr>
      <w:pStyle w:val="90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6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  <w:tabs>
          <w:tab w:val="num" w:pos="1211" w:leader="none"/>
        </w:tabs>
      </w:pPr>
      <w:rPr>
        <w:rFonts w:ascii="Times New Roman" w:hAnsi="Times New Roman" w:cs="Times New Roman"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709"/>
      </w:p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709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0" w:firstLine="709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709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0" w:firstLine="709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0" w:firstLine="709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0" w:firstLine="709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0" w:firstLine="709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29" w:hanging="102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203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6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912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3632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4352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5072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5792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6512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7232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7952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8672" w:hanging="18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isLgl w:val="false"/>
      <w:suff w:val="tab"/>
      <w:lvlText w:val="%2)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18"/>
  </w:num>
  <w:num w:numId="4">
    <w:abstractNumId w:val="10"/>
  </w:num>
  <w:num w:numId="5">
    <w:abstractNumId w:val="8"/>
  </w:num>
  <w:num w:numId="6">
    <w:abstractNumId w:val="2"/>
  </w:num>
  <w:num w:numId="7">
    <w:abstractNumId w:val="14"/>
  </w:num>
  <w:num w:numId="8">
    <w:abstractNumId w:val="13"/>
  </w:num>
  <w:num w:numId="9">
    <w:abstractNumId w:val="3"/>
  </w:num>
  <w:num w:numId="10">
    <w:abstractNumId w:val="7"/>
  </w:num>
  <w:num w:numId="11">
    <w:abstractNumId w:val="16"/>
  </w:num>
  <w:num w:numId="12">
    <w:abstractNumId w:val="4"/>
  </w:num>
  <w:num w:numId="13">
    <w:abstractNumId w:val="15"/>
  </w:num>
  <w:num w:numId="14">
    <w:abstractNumId w:val="5"/>
  </w:num>
  <w:num w:numId="15">
    <w:abstractNumId w:val="6"/>
  </w:num>
  <w:num w:numId="16">
    <w:abstractNumId w:val="0"/>
  </w:num>
  <w:num w:numId="17">
    <w:abstractNumId w:val="12"/>
  </w:num>
  <w:num w:numId="18">
    <w:abstractNumId w:val="1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5">
    <w:name w:val="Heading 1"/>
    <w:basedOn w:val="903"/>
    <w:next w:val="903"/>
    <w:link w:val="72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26">
    <w:name w:val="Heading 1 Char"/>
    <w:link w:val="72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27">
    <w:name w:val="Heading 2"/>
    <w:basedOn w:val="903"/>
    <w:next w:val="903"/>
    <w:link w:val="72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28">
    <w:name w:val="Heading 2 Char"/>
    <w:link w:val="727"/>
    <w:uiPriority w:val="9"/>
    <w:rPr>
      <w:rFonts w:ascii="Liberation Sans" w:hAnsi="Liberation Sans" w:eastAsia="Liberation Sans" w:cs="Liberation Sans"/>
      <w:sz w:val="34"/>
    </w:rPr>
  </w:style>
  <w:style w:type="paragraph" w:styleId="729">
    <w:name w:val="Heading 3"/>
    <w:basedOn w:val="903"/>
    <w:next w:val="903"/>
    <w:link w:val="73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30">
    <w:name w:val="Heading 3 Char"/>
    <w:link w:val="72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31">
    <w:name w:val="Heading 4"/>
    <w:basedOn w:val="903"/>
    <w:next w:val="903"/>
    <w:link w:val="73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2">
    <w:name w:val="Heading 4 Char"/>
    <w:link w:val="73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33">
    <w:name w:val="Heading 5"/>
    <w:basedOn w:val="903"/>
    <w:next w:val="903"/>
    <w:link w:val="73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4">
    <w:name w:val="Heading 5 Char"/>
    <w:link w:val="73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35">
    <w:name w:val="Heading 6"/>
    <w:basedOn w:val="903"/>
    <w:next w:val="903"/>
    <w:link w:val="73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6">
    <w:name w:val="Heading 6 Char"/>
    <w:link w:val="73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37">
    <w:name w:val="Heading 7"/>
    <w:basedOn w:val="903"/>
    <w:next w:val="903"/>
    <w:link w:val="73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8">
    <w:name w:val="Heading 7 Char"/>
    <w:link w:val="73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39">
    <w:name w:val="Heading 8"/>
    <w:basedOn w:val="903"/>
    <w:next w:val="903"/>
    <w:link w:val="74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40">
    <w:name w:val="Heading 8 Char"/>
    <w:link w:val="73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41">
    <w:name w:val="Heading 9"/>
    <w:basedOn w:val="903"/>
    <w:next w:val="903"/>
    <w:link w:val="74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2">
    <w:name w:val="Heading 9 Char"/>
    <w:link w:val="74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43">
    <w:name w:val="List Paragraph"/>
    <w:basedOn w:val="903"/>
    <w:uiPriority w:val="34"/>
    <w:qFormat/>
    <w:pPr>
      <w:contextualSpacing/>
      <w:ind w:left="720"/>
    </w:pPr>
  </w:style>
  <w:style w:type="paragraph" w:styleId="744">
    <w:name w:val="No Spacing"/>
    <w:uiPriority w:val="1"/>
    <w:qFormat/>
    <w:pPr>
      <w:spacing w:before="0" w:after="0" w:line="240" w:lineRule="auto"/>
    </w:pPr>
  </w:style>
  <w:style w:type="paragraph" w:styleId="745">
    <w:name w:val="Title"/>
    <w:basedOn w:val="903"/>
    <w:next w:val="903"/>
    <w:link w:val="74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6">
    <w:name w:val="Title Char"/>
    <w:link w:val="745"/>
    <w:uiPriority w:val="10"/>
    <w:rPr>
      <w:sz w:val="48"/>
      <w:szCs w:val="48"/>
    </w:rPr>
  </w:style>
  <w:style w:type="paragraph" w:styleId="747">
    <w:name w:val="Subtitle"/>
    <w:basedOn w:val="903"/>
    <w:next w:val="903"/>
    <w:link w:val="748"/>
    <w:uiPriority w:val="11"/>
    <w:qFormat/>
    <w:pPr>
      <w:spacing w:before="200" w:after="200"/>
    </w:pPr>
    <w:rPr>
      <w:sz w:val="24"/>
      <w:szCs w:val="24"/>
    </w:rPr>
  </w:style>
  <w:style w:type="character" w:styleId="748">
    <w:name w:val="Subtitle Char"/>
    <w:link w:val="747"/>
    <w:uiPriority w:val="11"/>
    <w:rPr>
      <w:sz w:val="24"/>
      <w:szCs w:val="24"/>
    </w:rPr>
  </w:style>
  <w:style w:type="paragraph" w:styleId="749">
    <w:name w:val="Quote"/>
    <w:basedOn w:val="903"/>
    <w:next w:val="903"/>
    <w:link w:val="750"/>
    <w:uiPriority w:val="29"/>
    <w:qFormat/>
    <w:pPr>
      <w:ind w:left="720" w:right="720"/>
    </w:pPr>
    <w:rPr>
      <w:i/>
    </w:rPr>
  </w:style>
  <w:style w:type="character" w:styleId="750">
    <w:name w:val="Quote Char"/>
    <w:link w:val="749"/>
    <w:uiPriority w:val="29"/>
    <w:rPr>
      <w:i/>
    </w:rPr>
  </w:style>
  <w:style w:type="paragraph" w:styleId="751">
    <w:name w:val="Intense Quote"/>
    <w:basedOn w:val="903"/>
    <w:next w:val="903"/>
    <w:link w:val="75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2">
    <w:name w:val="Intense Quote Char"/>
    <w:link w:val="751"/>
    <w:uiPriority w:val="30"/>
    <w:rPr>
      <w:i/>
    </w:rPr>
  </w:style>
  <w:style w:type="paragraph" w:styleId="753">
    <w:name w:val="Header"/>
    <w:basedOn w:val="903"/>
    <w:link w:val="75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4">
    <w:name w:val="Header Char"/>
    <w:link w:val="753"/>
    <w:uiPriority w:val="99"/>
  </w:style>
  <w:style w:type="paragraph" w:styleId="755">
    <w:name w:val="Footer"/>
    <w:basedOn w:val="903"/>
    <w:link w:val="75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6">
    <w:name w:val="Footer Char"/>
    <w:link w:val="755"/>
    <w:uiPriority w:val="99"/>
  </w:style>
  <w:style w:type="paragraph" w:styleId="757">
    <w:name w:val="Caption"/>
    <w:basedOn w:val="903"/>
    <w:next w:val="903"/>
    <w:link w:val="75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8">
    <w:name w:val="Caption Char"/>
    <w:link w:val="757"/>
    <w:uiPriority w:val="35"/>
    <w:rPr>
      <w:b/>
      <w:bCs/>
      <w:color w:val="4f81bd" w:themeColor="accent1"/>
      <w:sz w:val="18"/>
      <w:szCs w:val="18"/>
    </w:rPr>
  </w:style>
  <w:style w:type="table" w:styleId="75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0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0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0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0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0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0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5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5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6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6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6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6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6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5">
    <w:name w:val="Hyperlink"/>
    <w:uiPriority w:val="99"/>
    <w:unhideWhenUsed/>
    <w:rPr>
      <w:color w:val="0000ff" w:themeColor="hyperlink"/>
      <w:u w:val="single"/>
    </w:rPr>
  </w:style>
  <w:style w:type="paragraph" w:styleId="886">
    <w:name w:val="footnote text"/>
    <w:basedOn w:val="903"/>
    <w:link w:val="887"/>
    <w:uiPriority w:val="99"/>
    <w:semiHidden/>
    <w:unhideWhenUsed/>
    <w:pPr>
      <w:spacing w:after="40" w:line="240" w:lineRule="auto"/>
    </w:pPr>
    <w:rPr>
      <w:sz w:val="18"/>
    </w:rPr>
  </w:style>
  <w:style w:type="character" w:styleId="887">
    <w:name w:val="Footnote Text Char"/>
    <w:link w:val="886"/>
    <w:uiPriority w:val="99"/>
    <w:rPr>
      <w:sz w:val="18"/>
    </w:rPr>
  </w:style>
  <w:style w:type="character" w:styleId="888">
    <w:name w:val="footnote reference"/>
    <w:uiPriority w:val="99"/>
    <w:unhideWhenUsed/>
    <w:rPr>
      <w:vertAlign w:val="superscript"/>
    </w:rPr>
  </w:style>
  <w:style w:type="paragraph" w:styleId="889">
    <w:name w:val="endnote text"/>
    <w:basedOn w:val="903"/>
    <w:link w:val="890"/>
    <w:uiPriority w:val="99"/>
    <w:semiHidden/>
    <w:unhideWhenUsed/>
    <w:pPr>
      <w:spacing w:after="0" w:line="240" w:lineRule="auto"/>
    </w:pPr>
    <w:rPr>
      <w:sz w:val="20"/>
    </w:rPr>
  </w:style>
  <w:style w:type="character" w:styleId="890">
    <w:name w:val="Endnote Text Char"/>
    <w:link w:val="889"/>
    <w:uiPriority w:val="99"/>
    <w:rPr>
      <w:sz w:val="20"/>
    </w:rPr>
  </w:style>
  <w:style w:type="character" w:styleId="891">
    <w:name w:val="endnote reference"/>
    <w:uiPriority w:val="99"/>
    <w:semiHidden/>
    <w:unhideWhenUsed/>
    <w:rPr>
      <w:vertAlign w:val="superscript"/>
    </w:rPr>
  </w:style>
  <w:style w:type="paragraph" w:styleId="892">
    <w:name w:val="toc 1"/>
    <w:basedOn w:val="903"/>
    <w:next w:val="903"/>
    <w:uiPriority w:val="39"/>
    <w:unhideWhenUsed/>
    <w:pPr>
      <w:ind w:left="0" w:right="0" w:firstLine="0"/>
      <w:spacing w:after="57"/>
    </w:pPr>
  </w:style>
  <w:style w:type="paragraph" w:styleId="893">
    <w:name w:val="toc 2"/>
    <w:basedOn w:val="903"/>
    <w:next w:val="903"/>
    <w:uiPriority w:val="39"/>
    <w:unhideWhenUsed/>
    <w:pPr>
      <w:ind w:left="283" w:right="0" w:firstLine="0"/>
      <w:spacing w:after="57"/>
    </w:pPr>
  </w:style>
  <w:style w:type="paragraph" w:styleId="894">
    <w:name w:val="toc 3"/>
    <w:basedOn w:val="903"/>
    <w:next w:val="903"/>
    <w:uiPriority w:val="39"/>
    <w:unhideWhenUsed/>
    <w:pPr>
      <w:ind w:left="567" w:right="0" w:firstLine="0"/>
      <w:spacing w:after="57"/>
    </w:pPr>
  </w:style>
  <w:style w:type="paragraph" w:styleId="895">
    <w:name w:val="toc 4"/>
    <w:basedOn w:val="903"/>
    <w:next w:val="903"/>
    <w:uiPriority w:val="39"/>
    <w:unhideWhenUsed/>
    <w:pPr>
      <w:ind w:left="850" w:right="0" w:firstLine="0"/>
      <w:spacing w:after="57"/>
    </w:pPr>
  </w:style>
  <w:style w:type="paragraph" w:styleId="896">
    <w:name w:val="toc 5"/>
    <w:basedOn w:val="903"/>
    <w:next w:val="903"/>
    <w:uiPriority w:val="39"/>
    <w:unhideWhenUsed/>
    <w:pPr>
      <w:ind w:left="1134" w:right="0" w:firstLine="0"/>
      <w:spacing w:after="57"/>
    </w:pPr>
  </w:style>
  <w:style w:type="paragraph" w:styleId="897">
    <w:name w:val="toc 6"/>
    <w:basedOn w:val="903"/>
    <w:next w:val="903"/>
    <w:uiPriority w:val="39"/>
    <w:unhideWhenUsed/>
    <w:pPr>
      <w:ind w:left="1417" w:right="0" w:firstLine="0"/>
      <w:spacing w:after="57"/>
    </w:pPr>
  </w:style>
  <w:style w:type="paragraph" w:styleId="898">
    <w:name w:val="toc 7"/>
    <w:basedOn w:val="903"/>
    <w:next w:val="903"/>
    <w:uiPriority w:val="39"/>
    <w:unhideWhenUsed/>
    <w:pPr>
      <w:ind w:left="1701" w:right="0" w:firstLine="0"/>
      <w:spacing w:after="57"/>
    </w:pPr>
  </w:style>
  <w:style w:type="paragraph" w:styleId="899">
    <w:name w:val="toc 8"/>
    <w:basedOn w:val="903"/>
    <w:next w:val="903"/>
    <w:uiPriority w:val="39"/>
    <w:unhideWhenUsed/>
    <w:pPr>
      <w:ind w:left="1984" w:right="0" w:firstLine="0"/>
      <w:spacing w:after="57"/>
    </w:pPr>
  </w:style>
  <w:style w:type="paragraph" w:styleId="900">
    <w:name w:val="toc 9"/>
    <w:basedOn w:val="903"/>
    <w:next w:val="903"/>
    <w:uiPriority w:val="39"/>
    <w:unhideWhenUsed/>
    <w:pPr>
      <w:ind w:left="2268" w:right="0" w:firstLine="0"/>
      <w:spacing w:after="57"/>
    </w:pPr>
  </w:style>
  <w:style w:type="paragraph" w:styleId="901">
    <w:name w:val="TOC Heading"/>
    <w:uiPriority w:val="39"/>
    <w:unhideWhenUsed/>
  </w:style>
  <w:style w:type="paragraph" w:styleId="902">
    <w:name w:val="table of figures"/>
    <w:basedOn w:val="903"/>
    <w:next w:val="903"/>
    <w:uiPriority w:val="99"/>
    <w:unhideWhenUsed/>
    <w:pPr>
      <w:spacing w:after="0" w:afterAutospacing="0"/>
    </w:pPr>
  </w:style>
  <w:style w:type="paragraph" w:styleId="903" w:default="1">
    <w:name w:val="Normal"/>
    <w:next w:val="903"/>
    <w:link w:val="903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character" w:styleId="904">
    <w:name w:val="Основной шрифт абзаца"/>
    <w:next w:val="904"/>
    <w:link w:val="903"/>
    <w:uiPriority w:val="1"/>
    <w:semiHidden/>
    <w:unhideWhenUsed/>
  </w:style>
  <w:style w:type="table" w:styleId="905">
    <w:name w:val="Обычная таблица"/>
    <w:next w:val="905"/>
    <w:link w:val="903"/>
    <w:uiPriority w:val="99"/>
    <w:semiHidden/>
    <w:unhideWhenUsed/>
    <w:qFormat/>
    <w:tblPr/>
  </w:style>
  <w:style w:type="numbering" w:styleId="906">
    <w:name w:val="Нет списка"/>
    <w:next w:val="906"/>
    <w:link w:val="903"/>
    <w:uiPriority w:val="99"/>
    <w:semiHidden/>
    <w:unhideWhenUsed/>
  </w:style>
  <w:style w:type="paragraph" w:styleId="907">
    <w:name w:val="Верхний колонтитул"/>
    <w:basedOn w:val="903"/>
    <w:next w:val="907"/>
    <w:link w:val="90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8">
    <w:name w:val="Верхний колонтитул Знак"/>
    <w:basedOn w:val="904"/>
    <w:next w:val="908"/>
    <w:link w:val="907"/>
    <w:uiPriority w:val="99"/>
  </w:style>
  <w:style w:type="paragraph" w:styleId="909">
    <w:name w:val="Текст выноски"/>
    <w:basedOn w:val="903"/>
    <w:next w:val="909"/>
    <w:link w:val="910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en-US" w:eastAsia="en-US"/>
    </w:rPr>
  </w:style>
  <w:style w:type="character" w:styleId="910">
    <w:name w:val="Текст выноски Знак"/>
    <w:next w:val="910"/>
    <w:link w:val="909"/>
    <w:uiPriority w:val="99"/>
    <w:semiHidden/>
    <w:rPr>
      <w:rFonts w:ascii="Tahoma" w:hAnsi="Tahoma" w:cs="Tahoma"/>
      <w:sz w:val="16"/>
      <w:szCs w:val="16"/>
    </w:rPr>
  </w:style>
  <w:style w:type="paragraph" w:styleId="911">
    <w:name w:val="Нижний колонтитул"/>
    <w:basedOn w:val="903"/>
    <w:next w:val="911"/>
    <w:link w:val="91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12">
    <w:name w:val="Нижний колонтитул Знак"/>
    <w:basedOn w:val="904"/>
    <w:next w:val="912"/>
    <w:link w:val="911"/>
    <w:uiPriority w:val="99"/>
  </w:style>
  <w:style w:type="paragraph" w:styleId="913">
    <w:name w:val="Абзац списка,List_Paragraph,Multilevel para_II,List Paragraph1,Абзац списка11"/>
    <w:basedOn w:val="903"/>
    <w:next w:val="913"/>
    <w:link w:val="942"/>
    <w:uiPriority w:val="34"/>
    <w:qFormat/>
    <w:pPr>
      <w:contextualSpacing/>
      <w:ind w:left="720"/>
    </w:pPr>
  </w:style>
  <w:style w:type="paragraph" w:styleId="914">
    <w:name w:val="Текст сноски"/>
    <w:basedOn w:val="903"/>
    <w:next w:val="914"/>
    <w:link w:val="915"/>
    <w:uiPriority w:val="99"/>
    <w:semiHidden/>
    <w:unhideWhenUsed/>
    <w:rPr>
      <w:sz w:val="20"/>
      <w:szCs w:val="20"/>
    </w:rPr>
  </w:style>
  <w:style w:type="character" w:styleId="915">
    <w:name w:val="Текст сноски Знак"/>
    <w:basedOn w:val="904"/>
    <w:next w:val="915"/>
    <w:link w:val="914"/>
    <w:uiPriority w:val="99"/>
    <w:semiHidden/>
  </w:style>
  <w:style w:type="character" w:styleId="916">
    <w:name w:val="Знак сноски"/>
    <w:next w:val="916"/>
    <w:link w:val="903"/>
    <w:uiPriority w:val="99"/>
    <w:semiHidden/>
    <w:unhideWhenUsed/>
    <w:rPr>
      <w:vertAlign w:val="superscript"/>
    </w:rPr>
  </w:style>
  <w:style w:type="table" w:styleId="917">
    <w:name w:val="Сетка таблицы"/>
    <w:basedOn w:val="905"/>
    <w:next w:val="917"/>
    <w:link w:val="903"/>
    <w:uiPriority w:val="59"/>
    <w:tblPr/>
  </w:style>
  <w:style w:type="paragraph" w:styleId="918">
    <w:name w:val="Основной текст"/>
    <w:basedOn w:val="903"/>
    <w:next w:val="918"/>
    <w:link w:val="919"/>
    <w:uiPriority w:val="99"/>
    <w:semiHidden/>
    <w:unhideWhenUsed/>
    <w:pPr>
      <w:jc w:val="both"/>
      <w:spacing w:before="360" w:after="0" w:line="428" w:lineRule="exact"/>
      <w:shd w:val="clear" w:color="auto" w:fill="ffffff"/>
      <w:widowControl w:val="off"/>
    </w:pPr>
    <w:rPr>
      <w:rFonts w:ascii="Times New Roman" w:hAnsi="Times New Roman" w:eastAsia="Calibri"/>
      <w:sz w:val="33"/>
      <w:szCs w:val="33"/>
      <w:lang w:eastAsia="en-US"/>
    </w:rPr>
  </w:style>
  <w:style w:type="character" w:styleId="919">
    <w:name w:val="Основной текст Знак"/>
    <w:next w:val="919"/>
    <w:link w:val="918"/>
    <w:uiPriority w:val="99"/>
    <w:semiHidden/>
    <w:rPr>
      <w:rFonts w:ascii="Times New Roman" w:hAnsi="Times New Roman" w:eastAsia="Calibri"/>
      <w:sz w:val="33"/>
      <w:szCs w:val="33"/>
      <w:shd w:val="clear" w:color="auto" w:fill="ffffff"/>
      <w:lang w:eastAsia="en-US"/>
    </w:rPr>
  </w:style>
  <w:style w:type="character" w:styleId="920">
    <w:name w:val="Основной текст_"/>
    <w:next w:val="920"/>
    <w:link w:val="921"/>
    <w:rPr>
      <w:rFonts w:ascii="Times New Roman" w:hAnsi="Times New Roman"/>
      <w:sz w:val="26"/>
      <w:szCs w:val="26"/>
      <w:shd w:val="clear" w:color="auto" w:fill="ffffff"/>
    </w:rPr>
  </w:style>
  <w:style w:type="paragraph" w:styleId="921">
    <w:name w:val="Основной текст2"/>
    <w:basedOn w:val="903"/>
    <w:next w:val="921"/>
    <w:link w:val="920"/>
    <w:pPr>
      <w:ind w:hanging="1760"/>
      <w:spacing w:after="0" w:line="325" w:lineRule="exact"/>
      <w:shd w:val="clear" w:color="auto" w:fill="ffffff"/>
      <w:widowControl w:val="off"/>
    </w:pPr>
    <w:rPr>
      <w:rFonts w:ascii="Times New Roman" w:hAnsi="Times New Roman"/>
      <w:sz w:val="26"/>
      <w:szCs w:val="26"/>
    </w:rPr>
  </w:style>
  <w:style w:type="character" w:styleId="922">
    <w:name w:val="Основной текст (6)_"/>
    <w:next w:val="922"/>
    <w:link w:val="923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styleId="923">
    <w:name w:val="Основной текст (6)"/>
    <w:basedOn w:val="903"/>
    <w:next w:val="923"/>
    <w:link w:val="922"/>
    <w:pPr>
      <w:spacing w:before="240" w:after="0" w:line="319" w:lineRule="exact"/>
      <w:shd w:val="clear" w:color="auto" w:fill="ffffff"/>
      <w:widowControl w:val="off"/>
    </w:pPr>
    <w:rPr>
      <w:rFonts w:ascii="Times New Roman" w:hAnsi="Times New Roman"/>
      <w:b/>
      <w:bCs/>
      <w:sz w:val="26"/>
      <w:szCs w:val="26"/>
    </w:rPr>
  </w:style>
  <w:style w:type="character" w:styleId="924">
    <w:name w:val="Заголовок №1_"/>
    <w:next w:val="924"/>
    <w:link w:val="925"/>
    <w:rPr>
      <w:rFonts w:ascii="Times New Roman" w:hAnsi="Times New Roman"/>
      <w:b/>
      <w:bCs/>
      <w:sz w:val="23"/>
      <w:szCs w:val="23"/>
      <w:shd w:val="clear" w:color="auto" w:fill="ffffff"/>
    </w:rPr>
  </w:style>
  <w:style w:type="paragraph" w:styleId="925">
    <w:name w:val="Заголовок №1"/>
    <w:basedOn w:val="903"/>
    <w:next w:val="925"/>
    <w:link w:val="924"/>
    <w:pPr>
      <w:ind w:hanging="1980"/>
      <w:spacing w:before="360" w:after="0" w:line="413" w:lineRule="exact"/>
      <w:shd w:val="clear" w:color="auto" w:fill="ffffff"/>
      <w:widowControl w:val="off"/>
      <w:outlineLvl w:val="0"/>
    </w:pPr>
    <w:rPr>
      <w:rFonts w:ascii="Times New Roman" w:hAnsi="Times New Roman"/>
      <w:b/>
      <w:bCs/>
      <w:sz w:val="23"/>
      <w:szCs w:val="23"/>
    </w:rPr>
  </w:style>
  <w:style w:type="character" w:styleId="926">
    <w:name w:val="Основной текст1"/>
    <w:next w:val="926"/>
    <w:link w:val="903"/>
    <w:rPr>
      <w:rFonts w:ascii="Times New Roman" w:hAnsi="Times New Roman"/>
      <w:color w:val="000000"/>
      <w:spacing w:val="0"/>
      <w:position w:val="0"/>
      <w:sz w:val="26"/>
      <w:szCs w:val="26"/>
      <w:u w:val="single"/>
      <w:shd w:val="clear" w:color="auto" w:fill="ffffff"/>
      <w:lang w:val="ru-RU"/>
    </w:rPr>
  </w:style>
  <w:style w:type="character" w:styleId="927">
    <w:name w:val="Основной текст Знак1"/>
    <w:next w:val="927"/>
    <w:link w:val="903"/>
    <w:uiPriority w:val="99"/>
    <w:rPr>
      <w:rFonts w:ascii="Times New Roman" w:hAnsi="Times New Roman" w:cs="Times New Roman"/>
      <w:sz w:val="33"/>
      <w:szCs w:val="33"/>
      <w:shd w:val="clear" w:color="auto" w:fill="ffffff"/>
    </w:rPr>
  </w:style>
  <w:style w:type="character" w:styleId="928">
    <w:name w:val="Основной текст (6) Exact"/>
    <w:next w:val="928"/>
    <w:link w:val="903"/>
    <w:uiPriority w:val="99"/>
    <w:rPr>
      <w:rFonts w:ascii="Times New Roman" w:hAnsi="Times New Roman" w:cs="Times New Roman"/>
      <w:spacing w:val="8"/>
      <w:sz w:val="16"/>
      <w:szCs w:val="16"/>
      <w:u w:val="none"/>
    </w:rPr>
  </w:style>
  <w:style w:type="character" w:styleId="929">
    <w:name w:val="Основной текст (2)_"/>
    <w:next w:val="929"/>
    <w:link w:val="930"/>
    <w:uiPriority w:val="99"/>
    <w:rPr>
      <w:sz w:val="28"/>
      <w:szCs w:val="28"/>
      <w:shd w:val="clear" w:color="auto" w:fill="ffffff"/>
    </w:rPr>
  </w:style>
  <w:style w:type="paragraph" w:styleId="930">
    <w:name w:val="Основной текст (2)"/>
    <w:basedOn w:val="903"/>
    <w:next w:val="930"/>
    <w:link w:val="929"/>
    <w:uiPriority w:val="99"/>
    <w:pPr>
      <w:jc w:val="both"/>
      <w:spacing w:before="240" w:after="0" w:line="326" w:lineRule="exact"/>
      <w:shd w:val="clear" w:color="auto" w:fill="ffffff"/>
      <w:widowControl w:val="off"/>
    </w:pPr>
    <w:rPr>
      <w:sz w:val="28"/>
      <w:szCs w:val="28"/>
      <w:lang w:val="en-US" w:eastAsia="en-US"/>
    </w:rPr>
  </w:style>
  <w:style w:type="character" w:styleId="931">
    <w:name w:val="Номер строки"/>
    <w:basedOn w:val="904"/>
    <w:next w:val="931"/>
    <w:link w:val="903"/>
    <w:uiPriority w:val="99"/>
    <w:semiHidden/>
    <w:unhideWhenUsed/>
  </w:style>
  <w:style w:type="paragraph" w:styleId="932">
    <w:name w:val="ConsPlusTitle"/>
    <w:next w:val="932"/>
    <w:link w:val="903"/>
    <w:pPr>
      <w:widowControl w:val="off"/>
    </w:pPr>
    <w:rPr>
      <w:rFonts w:ascii="Times New Roman" w:hAnsi="Times New Roman"/>
      <w:b/>
      <w:bCs/>
      <w:sz w:val="24"/>
      <w:szCs w:val="24"/>
      <w:lang w:val="ru-RU" w:eastAsia="ru-RU" w:bidi="ar-SA"/>
    </w:rPr>
  </w:style>
  <w:style w:type="character" w:styleId="933">
    <w:name w:val="Знак примечания"/>
    <w:next w:val="933"/>
    <w:link w:val="903"/>
    <w:uiPriority w:val="99"/>
    <w:semiHidden/>
    <w:unhideWhenUsed/>
    <w:rPr>
      <w:sz w:val="16"/>
      <w:szCs w:val="16"/>
    </w:rPr>
  </w:style>
  <w:style w:type="paragraph" w:styleId="934">
    <w:name w:val="Текст примечания"/>
    <w:basedOn w:val="903"/>
    <w:next w:val="934"/>
    <w:link w:val="935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935">
    <w:name w:val="Текст примечания Знак"/>
    <w:basedOn w:val="904"/>
    <w:next w:val="935"/>
    <w:link w:val="934"/>
    <w:uiPriority w:val="99"/>
    <w:semiHidden/>
  </w:style>
  <w:style w:type="paragraph" w:styleId="936">
    <w:name w:val="Тема примечания"/>
    <w:basedOn w:val="934"/>
    <w:next w:val="934"/>
    <w:link w:val="937"/>
    <w:uiPriority w:val="99"/>
    <w:semiHidden/>
    <w:unhideWhenUsed/>
    <w:rPr>
      <w:b/>
      <w:bCs/>
    </w:rPr>
  </w:style>
  <w:style w:type="character" w:styleId="937">
    <w:name w:val="Тема примечания Знак"/>
    <w:next w:val="937"/>
    <w:link w:val="936"/>
    <w:uiPriority w:val="99"/>
    <w:semiHidden/>
    <w:rPr>
      <w:b/>
      <w:bCs/>
    </w:rPr>
  </w:style>
  <w:style w:type="table" w:styleId="938">
    <w:name w:val="Сетка таблицы1"/>
    <w:basedOn w:val="905"/>
    <w:next w:val="917"/>
    <w:link w:val="903"/>
    <w:uiPriority w:val="39"/>
    <w:rPr>
      <w:rFonts w:eastAsia="Calibri" w:cs="Calibri"/>
      <w:szCs w:val="22"/>
      <w:lang w:eastAsia="en-US"/>
    </w:rPr>
    <w:tblPr/>
  </w:style>
  <w:style w:type="character" w:styleId="939">
    <w:name w:val="Гиперссылка"/>
    <w:next w:val="939"/>
    <w:link w:val="903"/>
    <w:uiPriority w:val="99"/>
    <w:unhideWhenUsed/>
    <w:rPr>
      <w:color w:val="0000ff"/>
      <w:u w:val="single"/>
    </w:rPr>
  </w:style>
  <w:style w:type="paragraph" w:styleId="940">
    <w:name w:val="Без интервала"/>
    <w:next w:val="940"/>
    <w:link w:val="903"/>
    <w:uiPriority w:val="1"/>
    <w:qFormat/>
    <w:rPr>
      <w:sz w:val="22"/>
      <w:szCs w:val="22"/>
      <w:lang w:val="ru-RU" w:eastAsia="ru-RU" w:bidi="ar-SA"/>
    </w:rPr>
  </w:style>
  <w:style w:type="paragraph" w:styleId="941">
    <w:name w:val="ConsTitle"/>
    <w:next w:val="941"/>
    <w:link w:val="903"/>
    <w:pPr>
      <w:widowControl w:val="off"/>
    </w:pPr>
    <w:rPr>
      <w:rFonts w:ascii="Arial" w:hAnsi="Arial" w:eastAsia="Calibri" w:cs="Arial"/>
      <w:b/>
      <w:bCs/>
      <w:lang w:val="ru-RU" w:eastAsia="ru-RU" w:bidi="ar-SA"/>
    </w:rPr>
  </w:style>
  <w:style w:type="character" w:styleId="942">
    <w:name w:val="Абзац списка Знак,List_Paragraph Знак,Multilevel para_II Знак,List Paragraph1 Знак,Абзац списка11 Знак"/>
    <w:next w:val="942"/>
    <w:link w:val="913"/>
    <w:uiPriority w:val="34"/>
    <w:rPr>
      <w:sz w:val="22"/>
      <w:szCs w:val="22"/>
    </w:rPr>
  </w:style>
  <w:style w:type="character" w:styleId="943">
    <w:name w:val="Неразрешенное упоминание"/>
    <w:next w:val="943"/>
    <w:link w:val="903"/>
    <w:uiPriority w:val="99"/>
    <w:semiHidden/>
    <w:unhideWhenUsed/>
    <w:rPr>
      <w:color w:val="605e5c"/>
      <w:shd w:val="clear" w:color="auto" w:fill="e1dfdd"/>
    </w:rPr>
  </w:style>
  <w:style w:type="character" w:styleId="944" w:default="1">
    <w:name w:val="Default Paragraph Font"/>
    <w:uiPriority w:val="1"/>
    <w:semiHidden/>
    <w:unhideWhenUsed/>
  </w:style>
  <w:style w:type="numbering" w:styleId="945" w:default="1">
    <w:name w:val="No List"/>
    <w:uiPriority w:val="99"/>
    <w:semiHidden/>
    <w:unhideWhenUsed/>
  </w:style>
  <w:style w:type="table" w:styleId="94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KrasilnikovaOA</dc:creator>
  <cp:lastModifiedBy>merzksgu1</cp:lastModifiedBy>
  <cp:revision>176</cp:revision>
  <dcterms:created xsi:type="dcterms:W3CDTF">2026-03-03T03:04:00Z</dcterms:created>
  <dcterms:modified xsi:type="dcterms:W3CDTF">2026-10-08T00:25:05Z</dcterms:modified>
  <cp:version>917504</cp:version>
</cp:coreProperties>
</file>