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415D7E" w:rsidP="004D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D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896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="005D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</w:t>
      </w:r>
      <w:r w:rsidRPr="00A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D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«О некоторых вопросах предоставления государственных гарантий»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89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</w:t>
      </w:r>
      <w:r w:rsidR="007C35DE" w:rsidRPr="007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7C35DE" w:rsidRPr="007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анализа финансового состояния принципала</w:t>
      </w:r>
      <w:proofErr w:type="gramEnd"/>
      <w:r w:rsidR="007C35DE" w:rsidRPr="007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государственных гарантий Забайкальского края»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962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(далее - Министерство).</w:t>
      </w:r>
    </w:p>
    <w:p w:rsidR="00896A88" w:rsidRDefault="00896A88" w:rsidP="00896A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A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9E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индивидуальных предпринимателей</w:t>
      </w:r>
      <w:r w:rsidR="00AB0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на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</w:t>
      </w:r>
      <w:r w:rsidR="00D8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планирующих получить государственную гарантию Забайкальского края</w:t>
      </w:r>
      <w:r w:rsidRPr="00D9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771F4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принципалы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59FC" w:rsidRPr="00D95FC9" w:rsidRDefault="00C678BB" w:rsidP="00C67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 w:rsidR="00AB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подготовлен</w:t>
      </w:r>
      <w:r w:rsidR="00C559FC" w:rsidRPr="009C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</w:t>
      </w:r>
      <w:r w:rsidR="008A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августа </w:t>
      </w:r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№278-ФЗ «О внесении изменений </w:t>
      </w:r>
      <w:proofErr w:type="gramStart"/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кодекс Российской Федерации </w:t>
      </w:r>
      <w:r w:rsidR="00D8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отдельные законодательные акты Российской Федерации </w:t>
      </w:r>
      <w:r w:rsidR="00AB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</w:t>
      </w:r>
      <w:r w:rsidR="008A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утратившими силу Федерального закона «Об особенностях эмиссии и обращения государственны</w:t>
      </w:r>
      <w:r w:rsidR="00A42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и муниципальных ценных бумаг» в целях приведения регионального законодательства в соответствие с федеральным законодательством.</w:t>
      </w:r>
      <w:proofErr w:type="gramEnd"/>
    </w:p>
    <w:p w:rsidR="00B771F4" w:rsidRDefault="00C678BB" w:rsidP="00C678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57E0D"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E6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анализа финансового состояния принципала, проверки достаточности, надежности и ликвидности обеспечения, предоставляемого при предоставлении государственной гарантии Забайкальского края,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государственной гарантии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1),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минимального объема (суммы) обеспечения исполнения обязательств принципала по удовлетворению регрессного требования гаранта</w:t>
      </w:r>
      <w:proofErr w:type="gramEnd"/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принципалу по государственной гарантии в зависимости от степени удовлетворительности финансового состояния принципал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(далее – Порядок 2). </w:t>
      </w:r>
    </w:p>
    <w:p w:rsidR="00C678BB" w:rsidRDefault="00E67706" w:rsidP="00C678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процедуру проведения анализа ф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состояния принципала, проверки достаточности, надежности и  ликвидности обеспечения, </w:t>
      </w:r>
      <w:r w:rsidR="00C678BB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предоставляемого при предоставлении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гарантии Забайкальского края,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гарантии. </w:t>
      </w:r>
    </w:p>
    <w:p w:rsidR="00A425E6" w:rsidRDefault="00C678BB" w:rsidP="00A425E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1 а</w:t>
      </w:r>
      <w:r w:rsidR="00C24FD4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финансового состояния принципалов проводится на основании данных бухгалтерской (финансовой) отчетности, предоставленной принципалами по формам, утвержденным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финансов Российской Федерации (</w:t>
      </w:r>
      <w:r w:rsidR="00C24FD4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финансовых результатах, </w:t>
      </w:r>
      <w:r w:rsidR="00C24FD4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бухгалтерскому балансу и отчету о финансовых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7631D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финансового состояния принципалов Министерством готовится заключение о финансовом состоянии принципала</w:t>
      </w:r>
      <w:r w:rsidR="00B16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</w:t>
      </w:r>
      <w:r w:rsidR="00FA4375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</w:t>
      </w:r>
      <w:proofErr w:type="gramStart"/>
      <w:r w:rsidR="00FA4375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="00FA4375"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утвержденного Правительством Забайкальского края. При этом не я</w:t>
      </w:r>
      <w:r w:rsidR="00B1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сно, о каком перечне идет речь. Н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в пунктах 15 и 20 Порядка 1 прописать реквизиты перечня документов, либо</w:t>
      </w:r>
      <w:r w:rsidR="00B1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место его публикации. </w:t>
      </w:r>
      <w:r w:rsidR="00A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уточнить момент начала исчисления десятидневного срока,  </w:t>
      </w:r>
      <w:r w:rsidR="00415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 Порядке 1 отсутствует механизм фиксации начала исчисления срока.</w:t>
      </w:r>
    </w:p>
    <w:p w:rsidR="00B16815" w:rsidRDefault="00B16815" w:rsidP="00A425E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1 на основе значения сводной оценки показателей определяется финансовое состояние принципала.</w:t>
      </w:r>
    </w:p>
    <w:p w:rsidR="005970C9" w:rsidRPr="005970C9" w:rsidRDefault="005970C9" w:rsidP="005970C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финансовое состояние устойчивое, если значение сводной оценки не превышает 1,5 (включительно) (предоставление государственной гарантии Забайкальского края не вызывает сомнений);</w:t>
      </w:r>
    </w:p>
    <w:p w:rsidR="005970C9" w:rsidRPr="005970C9" w:rsidRDefault="005970C9" w:rsidP="005970C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C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- финансовое состояние удовлетворительное, если значение сводной оценки больше 1,5, но не превышает 2,5 (включительно) (предоставление гарантии Забайкальского края требует взвешенного подхода);</w:t>
      </w:r>
    </w:p>
    <w:p w:rsidR="00B16815" w:rsidRDefault="005970C9" w:rsidP="005970C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C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- финансовое состояние неудовлетворительное, если значение сводной оценки больше 2,5 (предоставление гарантии Забайкальского края  связано с повышенным риском).</w:t>
      </w:r>
    </w:p>
    <w:p w:rsidR="00C678BB" w:rsidRDefault="005970C9" w:rsidP="00C678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государственных гарантий Забайкальского края осуществляется при условии, что финансовое состояние принципала не ниже 2 класса, данное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введено в соответствии с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115.2 Бюджетного кодекса Российской Федерации.</w:t>
      </w:r>
    </w:p>
    <w:p w:rsidR="004B0C0C" w:rsidRPr="004B0C0C" w:rsidRDefault="00CA53A5" w:rsidP="004B0C0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8BB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Порядка 1 усматривается двусмысленность,</w:t>
      </w:r>
      <w:r w:rsid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7E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использования слова «определяет»,</w:t>
      </w:r>
      <w:r w:rsidR="00C678BB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более четко изложить </w:t>
      </w:r>
      <w:r w:rsidR="00C678BB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пункт.</w:t>
      </w:r>
      <w:r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пункту 21 Порядка 1 </w:t>
      </w:r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достаточности, надежности и ликвидности обеспечения определяет процедуру осуществления оценки достаточности, надежности и ликвидности обеспечения, предоставляемого принципалом, третьим лицом до даты выдачи государственной гарантии Забайкальского края, соответствующего требованиям статьи 115</w:t>
      </w:r>
      <w:r w:rsidR="004B0C0C" w:rsidRPr="004B0C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</w:t>
      </w:r>
      <w:r w:rsidR="004B0C0C" w:rsidRPr="004B0C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</w:t>
      </w:r>
      <w:proofErr w:type="gramEnd"/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 полном объеме или в какой-либо части гарантии, принимаемого Министерством финансов Забайкальского края в обеспечение исполнения обязательств юридического лица, индивидуального предпринимателя по договору, в обеспечение которого предоставляется государственная гарантия, а также осуществления </w:t>
      </w:r>
      <w:proofErr w:type="gramStart"/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B0C0C" w:rsidRP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достаточностью, надежностью и ликвидностью предоставленного обеспечения после предоставления государственной гарантии Забайкальского края».</w:t>
      </w:r>
      <w:r w:rsidR="004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стоит заменить слово «определяет» словом «включает».</w:t>
      </w:r>
    </w:p>
    <w:p w:rsidR="00C678BB" w:rsidRDefault="004B0C0C" w:rsidP="004B0C0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1 в </w:t>
      </w:r>
      <w:r w:rsidR="00C678BB" w:rsidRPr="00E6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обеспечения исполнения обязатель</w:t>
      </w:r>
      <w:proofErr w:type="gramStart"/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принципалу, возникающего в связи с исполнением государственной гарантии Забайкальского края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приниматься:</w:t>
      </w:r>
    </w:p>
    <w:p w:rsidR="00C678BB" w:rsidRDefault="00C678BB" w:rsidP="00C678BB">
      <w:pPr>
        <w:pStyle w:val="a8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гарантии, поручительства, муниципальные гарантии;</w:t>
      </w:r>
    </w:p>
    <w:p w:rsidR="00C678BB" w:rsidRPr="00501F0E" w:rsidRDefault="00501F0E" w:rsidP="00501F0E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F0E">
        <w:rPr>
          <w:rFonts w:ascii="Times New Roman" w:hAnsi="Times New Roman" w:cs="Times New Roman"/>
          <w:sz w:val="28"/>
          <w:szCs w:val="28"/>
        </w:rPr>
        <w:t>залог имущества, в виде: недвижимого имущества (земельные участки, здания, сооружения, нежилые помещения, предприятия как имущественные комплексы, жилые помещения без регистрации жильцов и долевого участия несовершеннолетних детей); движимого имущества (транспортные средства и самоходная техника, оборудование); ценных бумаг (акции, облигации).</w:t>
      </w:r>
      <w:proofErr w:type="gramEnd"/>
      <w:r w:rsidRPr="0050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78BB"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ередаваемое в залог имущество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принадлежать залого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дателю на праве соб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и, согласно пункту 26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C678BB"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застраховано от всех рисков утраты и повреждения на сумму не менее суммы оценки передаваемого в залог имущества. </w:t>
      </w:r>
    </w:p>
    <w:p w:rsidR="008B0C3C" w:rsidRDefault="00C678BB" w:rsidP="00501F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оценки надежности (ликвидности) предмета залога, передаваемого в обеспечение государственной гарантии 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утвержденны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приказом Министерства финансов Забайкальского края от 3 октября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№232-пд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на которую должно быть застраховано передаваемое в залог имущество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суммы гарантии. 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пункт 26 Порядка 1 устанавливает, что пе</w:t>
      </w:r>
      <w:r w:rsidR="00501F0E"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редаваемое в залог имущество должно быть застраховано от всех рисков утраты и повреждения на сумму не менее суммы оценки передаваемого в залог имущества.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учитывая, что в соответствии с подпунктом 2 пункта 28</w:t>
      </w:r>
      <w:r w:rsidR="004547E5"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1</w:t>
      </w:r>
      <w:r w:rsidRP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залога имущества должна превышать объем государственной гарантии,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залогодатель обязан застраховать передаваемое в залог имущество на сумму, большую предусмотренной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нормой. 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проект 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содержит положение, способствующее увеличени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расходов принципала.</w:t>
      </w:r>
    </w:p>
    <w:p w:rsidR="00C678BB" w:rsidRDefault="00987355" w:rsidP="008B0C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нормы, указанные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26 Порядка 1 и в подпунктах 1, 2 пункта 29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1, в части страхования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противоречащими друг другу. Кроме того, из подпункта 3 пункта 29 Порядка 1 не усматривается необходимость страхования ценных бумаг, что так же является противоречием пункту 26 Порядка 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характер неясности.   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8BB" w:rsidRPr="00C678BB" w:rsidRDefault="00C678BB" w:rsidP="00C678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2 регулируются вопросы, связанные с определением минимального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обеспечения исполнения обязательств принципала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государственной гарантии Забайкальского края. 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(сумма) обеспечения исполнения обязатель</w:t>
      </w:r>
      <w:proofErr w:type="gramStart"/>
      <w:r w:rsidR="0045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454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</w:t>
      </w: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регрессного требования гаранта к принципалу по государственной гарантии Забайкальского края устанавливается в зависимости от степени удовлетворительности финансового состояния принципала:</w:t>
      </w:r>
    </w:p>
    <w:p w:rsidR="00C678BB" w:rsidRPr="00C678BB" w:rsidRDefault="00C678BB" w:rsidP="00C678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100 процентов от суммы предоставленной государственной гарантии Забайкальского края, если финансовое состояние принципала устойчивое;</w:t>
      </w:r>
    </w:p>
    <w:p w:rsidR="00C678BB" w:rsidRPr="00C678BB" w:rsidRDefault="00C678BB" w:rsidP="00C678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150 процентов от суммы предоставленной государственной гарантии Забайкальского края (при сумме государственной гарантии Забайкальского края до 100 млн. рублей), если финансовое состояние принципала удовлетворительное;</w:t>
      </w:r>
    </w:p>
    <w:p w:rsidR="00C678BB" w:rsidRDefault="00C678BB" w:rsidP="00C678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130 процентов от суммы предоставленной государственной гарантии Забайкальского края (при сумме государственной гарантии Забайкальского края свыше 100 млн. рублей), если финансовое состояние принципала удовлетворительное.</w:t>
      </w:r>
    </w:p>
    <w:p w:rsidR="00BB686D" w:rsidRDefault="00BB686D" w:rsidP="00C678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определении минимального объема (суммы) обеспечения исполнения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государственной гарантии вводится в соответствии с пунктом 115.3 Бюджетного кодекса Российской Федерации.</w:t>
      </w:r>
      <w:r w:rsidR="003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не пояснил, чем обосновано установление</w:t>
      </w:r>
      <w:r w:rsidR="002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такого объема  (суммы) обеспечения исп</w:t>
      </w:r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обязательств принципала, в </w:t>
      </w:r>
      <w:proofErr w:type="gramStart"/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 представляется возможным оценить данную норму.</w:t>
      </w:r>
    </w:p>
    <w:p w:rsidR="00C678BB" w:rsidRDefault="00EF16E8" w:rsidP="009873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C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</w:t>
      </w:r>
      <w:r w:rsidR="00987355" w:rsidRP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 и (или) нормативными правовыми актами Российской Федерации и Забайкальского края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</w:t>
      </w:r>
      <w:proofErr w:type="gramEnd"/>
      <w:r w:rsidR="00987355" w:rsidRP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не позднее 30 дней со дня выявления такого несоответствия, осуществить замену обеспечения (полную или частичную) </w:t>
      </w:r>
      <w:r w:rsidR="00987355" w:rsidRP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предоставить дополнительное обеспечение исполнения обязательств.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9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записке, направленной 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39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регулирующего воздействия нет обоснования установления 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39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дневного срока, </w:t>
      </w:r>
      <w:r w:rsidR="00BB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оценить достаточность данного срока затрудн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ительно. Вместе с тем, полагаем</w:t>
      </w:r>
      <w:r w:rsidR="00BB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рекомендовать прописать в Порядке 2 механизм замены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(дополнения)</w:t>
      </w:r>
      <w:r w:rsidR="009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увеличить срок </w:t>
      </w:r>
      <w:r w:rsidR="009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C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этого обязательства.</w:t>
      </w:r>
    </w:p>
    <w:p w:rsidR="00396291" w:rsidRDefault="00396291" w:rsidP="003962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с 4 февраля по 17 февраля 2020 года были проведены публичные консультации, </w:t>
      </w:r>
      <w:r w:rsidRPr="0039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которых от </w:t>
      </w:r>
      <w:r w:rsidRPr="00396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защите прав предпринимателей в Забайкальском крае и его рабочего аппарата поступили замечания и предлож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 числе которых следующие.</w:t>
      </w:r>
    </w:p>
    <w:p w:rsidR="00AA5923" w:rsidRPr="00AA5923" w:rsidRDefault="004D7E59" w:rsidP="00AA59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 последний пункта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7B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1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предъявляется бухгалтерская (финансовая) отчетность по формам, утвержденным Министерством финансов Российской Федерации.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ормами статей 13 и 14  Федерального закона от 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402-ФЗ «О бухгалтерском учете» предусмотрено применение  унифицированных  форм бухгалтерской (финансовой) отчетности, поэт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введение предлагаемых норм нецелесообразно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A5923" w:rsidRPr="00AA5923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бланкетная (отсылочная) норма на перечень документов, утвержденный постановлением Правительства Забайкальского края. Учитывая, что рассматриваемый правовой акт также является постановлением Правительства Забайкальского края, 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соответствующих документов закрепить в рассматриваемом проекте. Иначе усматривается избыточное правовое регулирование.    </w:t>
      </w:r>
    </w:p>
    <w:p w:rsidR="00AA5923" w:rsidRPr="00C550F4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пункта 22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механизм определения высокой степени надежности (ликвидности) обесп</w:t>
      </w:r>
      <w:r w:rsidR="003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исполнения обязательств.</w:t>
      </w:r>
    </w:p>
    <w:p w:rsidR="00AA5923" w:rsidRPr="00AA5923" w:rsidRDefault="004D7E59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26 и 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1, 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страхования передаваемого в залог имущества, подпункт «в» подпункта 1 и подпункт «г» подпункта 2 пункта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1 содержит избыточные требования, влекущие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расходы принципала.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923" w:rsidRPr="00AA5923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и приложенных к проекту материалах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приводится обоснование закрепленных в подпункте 2 пункта 28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1 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коэффициентов стоимости имущества. Поэтому определить обоснованность их применения не представляется возможным. </w:t>
      </w:r>
    </w:p>
    <w:p w:rsidR="00AA5923" w:rsidRPr="00AA5923" w:rsidRDefault="008B0C3C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«а» подпункта 1 пункта 29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F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залогодателем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 регистрации права собственности залогодателя. Эта информация может быть запрошена уполномоченным органом самостоятельно в рамках межведомственного взаимодействия, информация о зарегистрированных обременениях также может быть получена указанным путем. </w:t>
      </w:r>
    </w:p>
    <w:p w:rsidR="00AA5923" w:rsidRPr="00AA5923" w:rsidRDefault="008B0C3C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«а» подпункта 2 пункта 29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1 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трудновыполнима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доказывания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тствия всякого рода обременения в отношении движимого имущества.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закрепить в норме, какие документы могут быть предоставлены для доказывания этого факта. </w:t>
      </w:r>
    </w:p>
    <w:p w:rsidR="00AA5923" w:rsidRPr="00AA5923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вопросы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пункта 33 Порядка 1.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ссылки на соответствующие структурные элементы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Порядка 1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предусмотрены конкретные требования к документам, нарушение которых будет являться основанием для отказа в принятии предмета залога. </w:t>
      </w:r>
    </w:p>
    <w:p w:rsidR="00AA5923" w:rsidRPr="00AA5923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 пункта 33</w:t>
      </w:r>
      <w:r w:rsidR="00C5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1 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поскольку закрепляемая им норма может трактоваться как                      коррупциогенный фактор. 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оснований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принятии залога дол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быть исчерпывающим (закрытым).</w:t>
      </w:r>
    </w:p>
    <w:p w:rsidR="00AA5923" w:rsidRPr="004D7E59" w:rsidRDefault="00AA5923" w:rsidP="004D7E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35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1 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закреплен порядок проведения соответс</w:t>
      </w:r>
      <w:r w:rsid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твующей проверки. Р</w:t>
      </w:r>
      <w:r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ассматриваемый порядок нуждается в закреплении в тексте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постановления.</w:t>
      </w:r>
    </w:p>
    <w:p w:rsidR="00396291" w:rsidRPr="00C678BB" w:rsidRDefault="00396291" w:rsidP="00AA59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проведения публичных консультаций прилагается.</w:t>
      </w:r>
    </w:p>
    <w:p w:rsidR="00AA5923" w:rsidRDefault="00C678BB" w:rsidP="00AA5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E7A9F"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81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E7A9F"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Забайкальского края 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вывод о средней</w:t>
      </w:r>
      <w:r w:rsidR="006E7A9F"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 положений проекта </w:t>
      </w:r>
      <w:r w:rsid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наличием в нем положений, изменяющих ранее предусмотренные нормативными правовыми актами Забайкальского края обязанности и ограничения для субъектов предпринимательской </w:t>
      </w:r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AA5923" w:rsidRPr="00A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способствующих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расходов субъектов предпринимательской </w:t>
      </w:r>
      <w:r w:rsidR="00B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8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proofErr w:type="gramEnd"/>
    </w:p>
    <w:p w:rsidR="004D7E59" w:rsidRDefault="004D7E59" w:rsidP="00AA5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59" w:rsidRDefault="004D7E59" w:rsidP="00AA5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59" w:rsidRDefault="004D7E59" w:rsidP="00AA5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59" w:rsidRPr="004D7E59" w:rsidRDefault="004D7E59" w:rsidP="004D7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председателя</w:t>
      </w:r>
    </w:p>
    <w:p w:rsidR="004D7E59" w:rsidRPr="004D7E59" w:rsidRDefault="004D7E59" w:rsidP="004D7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– </w:t>
      </w:r>
    </w:p>
    <w:p w:rsidR="004D7E59" w:rsidRPr="004D7E59" w:rsidRDefault="004D7E59" w:rsidP="004D7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экономического развития </w:t>
      </w:r>
    </w:p>
    <w:p w:rsidR="004D7E59" w:rsidRPr="004D7E59" w:rsidRDefault="004D7E59" w:rsidP="004D7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</w:t>
      </w:r>
      <w:proofErr w:type="spellStart"/>
      <w:r w:rsidRPr="004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А.В.Бардалеев</w:t>
      </w:r>
      <w:proofErr w:type="spellEnd"/>
    </w:p>
    <w:p w:rsidR="004D7E59" w:rsidRPr="00AA5923" w:rsidRDefault="004D7E59" w:rsidP="00AA5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AA5923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357E0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72" w:rsidRDefault="009D7272" w:rsidP="00FF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70"/>
        <w:tblW w:w="0" w:type="auto"/>
        <w:tblLook w:val="04A0" w:firstRow="1" w:lastRow="0" w:firstColumn="1" w:lastColumn="0" w:noHBand="0" w:noVBand="1"/>
      </w:tblPr>
      <w:tblGrid>
        <w:gridCol w:w="3102"/>
      </w:tblGrid>
      <w:tr w:rsidR="00B87DBD" w:rsidTr="00B87DBD">
        <w:trPr>
          <w:trHeight w:val="535"/>
        </w:trPr>
        <w:tc>
          <w:tcPr>
            <w:tcW w:w="3102" w:type="dxa"/>
            <w:hideMark/>
          </w:tcPr>
          <w:p w:rsidR="00B87DBD" w:rsidRDefault="00B87DBD" w:rsidP="00B87DB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Норсонова Юлия Эдуардовна</w:t>
            </w:r>
          </w:p>
          <w:p w:rsidR="00B87DBD" w:rsidRDefault="00B87DBD" w:rsidP="00B87DB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FF0180" w:rsidRPr="00970DAD" w:rsidRDefault="00FF0180" w:rsidP="00FF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0180" w:rsidRPr="00970DAD" w:rsidSect="00896A88">
      <w:headerReference w:type="even" r:id="rId8"/>
      <w:headerReference w:type="default" r:id="rId9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F" w:rsidRDefault="0096052F">
      <w:pPr>
        <w:spacing w:after="0" w:line="240" w:lineRule="auto"/>
      </w:pPr>
      <w:r>
        <w:separator/>
      </w:r>
    </w:p>
  </w:endnote>
  <w:endnote w:type="continuationSeparator" w:id="0">
    <w:p w:rsidR="0096052F" w:rsidRDefault="0096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F" w:rsidRDefault="0096052F">
      <w:pPr>
        <w:spacing w:after="0" w:line="240" w:lineRule="auto"/>
      </w:pPr>
      <w:r>
        <w:separator/>
      </w:r>
    </w:p>
  </w:footnote>
  <w:footnote w:type="continuationSeparator" w:id="0">
    <w:p w:rsidR="0096052F" w:rsidRDefault="0096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F" w:rsidRDefault="0096052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52F" w:rsidRDefault="00960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F" w:rsidRDefault="0096052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AED">
      <w:rPr>
        <w:rStyle w:val="a5"/>
        <w:noProof/>
      </w:rPr>
      <w:t>5</w:t>
    </w:r>
    <w:r>
      <w:rPr>
        <w:rStyle w:val="a5"/>
      </w:rPr>
      <w:fldChar w:fldCharType="end"/>
    </w:r>
  </w:p>
  <w:p w:rsidR="0096052F" w:rsidRPr="00263AC7" w:rsidRDefault="0096052F" w:rsidP="009D7272">
    <w:pPr>
      <w:pStyle w:val="a3"/>
      <w:framePr w:wrap="around" w:vAnchor="text" w:hAnchor="page" w:x="1696" w:y="1"/>
      <w:rPr>
        <w:rStyle w:val="a5"/>
      </w:rPr>
    </w:pPr>
  </w:p>
  <w:p w:rsidR="0096052F" w:rsidRDefault="0096052F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F2D"/>
    <w:multiLevelType w:val="hybridMultilevel"/>
    <w:tmpl w:val="A57C213A"/>
    <w:lvl w:ilvl="0" w:tplc="F698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20BA5"/>
    <w:multiLevelType w:val="hybridMultilevel"/>
    <w:tmpl w:val="71265B50"/>
    <w:lvl w:ilvl="0" w:tplc="AE9AF94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2541D"/>
    <w:multiLevelType w:val="hybridMultilevel"/>
    <w:tmpl w:val="F3DA9E38"/>
    <w:lvl w:ilvl="0" w:tplc="C36EE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63402"/>
    <w:multiLevelType w:val="hybridMultilevel"/>
    <w:tmpl w:val="5158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0D"/>
    <w:rsid w:val="00017B89"/>
    <w:rsid w:val="0007631D"/>
    <w:rsid w:val="00083C2A"/>
    <w:rsid w:val="000A120A"/>
    <w:rsid w:val="000C7BEC"/>
    <w:rsid w:val="000E11D9"/>
    <w:rsid w:val="00143DDD"/>
    <w:rsid w:val="00151351"/>
    <w:rsid w:val="00157FF5"/>
    <w:rsid w:val="00165476"/>
    <w:rsid w:val="0017745C"/>
    <w:rsid w:val="00191BF0"/>
    <w:rsid w:val="002178FF"/>
    <w:rsid w:val="00233F70"/>
    <w:rsid w:val="00241223"/>
    <w:rsid w:val="00245333"/>
    <w:rsid w:val="002A4638"/>
    <w:rsid w:val="002B2D1B"/>
    <w:rsid w:val="002C1AED"/>
    <w:rsid w:val="002E1673"/>
    <w:rsid w:val="00301375"/>
    <w:rsid w:val="00317D02"/>
    <w:rsid w:val="003356C0"/>
    <w:rsid w:val="00350D2A"/>
    <w:rsid w:val="00357E0D"/>
    <w:rsid w:val="0039386F"/>
    <w:rsid w:val="00396291"/>
    <w:rsid w:val="003C5FD2"/>
    <w:rsid w:val="003E7F51"/>
    <w:rsid w:val="004023DE"/>
    <w:rsid w:val="00414C69"/>
    <w:rsid w:val="00415D7E"/>
    <w:rsid w:val="004547E5"/>
    <w:rsid w:val="00461378"/>
    <w:rsid w:val="004763F4"/>
    <w:rsid w:val="0049407B"/>
    <w:rsid w:val="004A2B3D"/>
    <w:rsid w:val="004B0C0C"/>
    <w:rsid w:val="004D7E59"/>
    <w:rsid w:val="00501F0E"/>
    <w:rsid w:val="00525DF2"/>
    <w:rsid w:val="0055602A"/>
    <w:rsid w:val="005970C9"/>
    <w:rsid w:val="005A2D0D"/>
    <w:rsid w:val="005B7FAF"/>
    <w:rsid w:val="005D5F48"/>
    <w:rsid w:val="00633498"/>
    <w:rsid w:val="0064720B"/>
    <w:rsid w:val="00691708"/>
    <w:rsid w:val="006D4C6F"/>
    <w:rsid w:val="006D7CEE"/>
    <w:rsid w:val="006E7A9F"/>
    <w:rsid w:val="006F75AC"/>
    <w:rsid w:val="007467DE"/>
    <w:rsid w:val="007917BA"/>
    <w:rsid w:val="007B303B"/>
    <w:rsid w:val="007B37FB"/>
    <w:rsid w:val="007C35DE"/>
    <w:rsid w:val="007D018C"/>
    <w:rsid w:val="007E077A"/>
    <w:rsid w:val="007E25C1"/>
    <w:rsid w:val="007E2FE7"/>
    <w:rsid w:val="00811567"/>
    <w:rsid w:val="00851B63"/>
    <w:rsid w:val="00896A88"/>
    <w:rsid w:val="0089759E"/>
    <w:rsid w:val="008A6AB5"/>
    <w:rsid w:val="008B0C3C"/>
    <w:rsid w:val="008B499D"/>
    <w:rsid w:val="008D4727"/>
    <w:rsid w:val="0090024D"/>
    <w:rsid w:val="0091323E"/>
    <w:rsid w:val="00926EC3"/>
    <w:rsid w:val="00935BCF"/>
    <w:rsid w:val="00935F1F"/>
    <w:rsid w:val="00951E63"/>
    <w:rsid w:val="0096052F"/>
    <w:rsid w:val="00962158"/>
    <w:rsid w:val="0096509A"/>
    <w:rsid w:val="00970DAD"/>
    <w:rsid w:val="00987355"/>
    <w:rsid w:val="009A6381"/>
    <w:rsid w:val="009A692E"/>
    <w:rsid w:val="009C4BE9"/>
    <w:rsid w:val="009D7272"/>
    <w:rsid w:val="009E6312"/>
    <w:rsid w:val="00A30972"/>
    <w:rsid w:val="00A425E6"/>
    <w:rsid w:val="00A52C36"/>
    <w:rsid w:val="00A56B76"/>
    <w:rsid w:val="00A90FF8"/>
    <w:rsid w:val="00AA0B14"/>
    <w:rsid w:val="00AA5923"/>
    <w:rsid w:val="00AB077E"/>
    <w:rsid w:val="00AC4A0D"/>
    <w:rsid w:val="00AD1589"/>
    <w:rsid w:val="00AE5332"/>
    <w:rsid w:val="00B04C10"/>
    <w:rsid w:val="00B16815"/>
    <w:rsid w:val="00B31828"/>
    <w:rsid w:val="00B54AF7"/>
    <w:rsid w:val="00B771F4"/>
    <w:rsid w:val="00B87DBD"/>
    <w:rsid w:val="00BB686D"/>
    <w:rsid w:val="00BE2BE5"/>
    <w:rsid w:val="00BF14F2"/>
    <w:rsid w:val="00C000F7"/>
    <w:rsid w:val="00C24FD4"/>
    <w:rsid w:val="00C325FA"/>
    <w:rsid w:val="00C45D2C"/>
    <w:rsid w:val="00C550F4"/>
    <w:rsid w:val="00C559FC"/>
    <w:rsid w:val="00C678BB"/>
    <w:rsid w:val="00C84013"/>
    <w:rsid w:val="00C944E8"/>
    <w:rsid w:val="00CA42F8"/>
    <w:rsid w:val="00CA53A5"/>
    <w:rsid w:val="00CE78EA"/>
    <w:rsid w:val="00D127C9"/>
    <w:rsid w:val="00D50350"/>
    <w:rsid w:val="00D80D96"/>
    <w:rsid w:val="00D87D8F"/>
    <w:rsid w:val="00D927CB"/>
    <w:rsid w:val="00D95FC9"/>
    <w:rsid w:val="00DD2534"/>
    <w:rsid w:val="00E17DBB"/>
    <w:rsid w:val="00E25D7C"/>
    <w:rsid w:val="00E33D4B"/>
    <w:rsid w:val="00E60ABD"/>
    <w:rsid w:val="00E67706"/>
    <w:rsid w:val="00E83CDC"/>
    <w:rsid w:val="00EA138B"/>
    <w:rsid w:val="00EA68B7"/>
    <w:rsid w:val="00ED5A26"/>
    <w:rsid w:val="00EF16E8"/>
    <w:rsid w:val="00F13B4C"/>
    <w:rsid w:val="00F23B48"/>
    <w:rsid w:val="00F56776"/>
    <w:rsid w:val="00F7222D"/>
    <w:rsid w:val="00FA4375"/>
    <w:rsid w:val="00FC4159"/>
    <w:rsid w:val="00FF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uiPriority w:val="99"/>
    <w:rsid w:val="00C678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6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Норсонова</cp:lastModifiedBy>
  <cp:revision>8</cp:revision>
  <cp:lastPrinted>2020-03-12T08:38:00Z</cp:lastPrinted>
  <dcterms:created xsi:type="dcterms:W3CDTF">2014-09-11T02:26:00Z</dcterms:created>
  <dcterms:modified xsi:type="dcterms:W3CDTF">2020-03-12T09:50:00Z</dcterms:modified>
</cp:coreProperties>
</file>