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п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риказом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Забайкальского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края</w:t>
      </w:r>
      <w:r>
        <w:rPr>
          <w:rFonts w:ascii="Times New Roman" w:hAnsi="Times New Roman" w:cs="Times New Roman"/>
          <w:color w:val="00000a"/>
          <w:sz w:val="24"/>
          <w:szCs w:val="24"/>
        </w:rPr>
      </w:r>
      <w:r>
        <w:rPr>
          <w:rFonts w:ascii="Times New Roman" w:hAnsi="Times New Roman" w:cs="Times New Roman"/>
          <w:color w:val="00000a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10»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</w:t>
      </w:r>
      <w:r>
        <w:rPr>
          <w:rFonts w:ascii="Times New Roman" w:hAnsi="Times New Roman" w:cs="Times New Roman"/>
          <w:sz w:val="24"/>
          <w:szCs w:val="24"/>
        </w:rPr>
        <w:t xml:space="preserve"> 2024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174 о.д.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ДОКУМЕНТАЦИЯ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  <w:br/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ПОДРЯДНЫХ ОРГАНИЗАЦИЙ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№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3-ПО(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7).ЛО.20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для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оказание услуг и (или) выполнение работ по ремонту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замене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модернизации лифтов, ремонту лифтовых шахт, машинных и блочных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г. Чита, 202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Настоящая документация о проведении предварительного отбора подрядных организаций утверждена в целях проведения предварительного отбора подрядных организаций для включения в реестр квалифицированных подрядных организаций, имеющих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право принимать участие в электронных аукционах, предметом которых является оказание услуг и (или) выполнение работ по </w:t>
      </w:r>
      <w:r>
        <w:rPr>
          <w:rFonts w:ascii="Times New Roman" w:hAnsi="Times New Roman" w:cs="Times New Roman"/>
          <w:sz w:val="24"/>
          <w:szCs w:val="24"/>
        </w:rPr>
        <w:t xml:space="preserve">ремонту</w:t>
      </w:r>
      <w:r>
        <w:rPr>
          <w:rFonts w:ascii="Times New Roman" w:hAnsi="Times New Roman" w:cs="Times New Roman"/>
          <w:bCs/>
          <w:sz w:val="24"/>
          <w:szCs w:val="24"/>
        </w:rPr>
        <w:t xml:space="preserve">, замене, модернизации лифтов, ремонту лифтовых шахт, машинных и блочных помещений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(далее – Документация о проведении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предварительного отбора, предварительный отбор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электронный аукцион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Исполнительным органом государственной власти Забайкальского края, уполномоченным на ведение реестра квалифицированных подрядных организаций (далее – РКПО, орган по ведению РКПО)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является Министерство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Забайкальского края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5"/>
        <w:tblW w:w="4888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590"/>
        <w:gridCol w:w="4169"/>
        <w:gridCol w:w="104"/>
        <w:gridCol w:w="4272"/>
      </w:tblGrid>
      <w:tr>
        <w:tblPrEx/>
        <w:trPr>
          <w:trHeight w:val="666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214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и (или) 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замене, модернизации лифтов, ремонту лифтовых шахт, машинных и блочных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21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W w:w="2339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W w:w="2338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3-ПО(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7).ЛО.20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28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W w:w="4677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уполномоченном органе на ведение РКПО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20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38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7536176880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572"/>
        </w:trPr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672002, г. Чита, ул. Чкалова, д. 136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hyperlink r:id="rId11" w:tooltip="mailto:pochta@minenergo.e-zab.ru" w:history="1">
              <w:r>
                <w:rPr>
                  <w:rStyle w:val="898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pochta</w:t>
              </w:r>
              <w:r>
                <w:rPr>
                  <w:rStyle w:val="898"/>
                  <w:rFonts w:ascii="Times New Roman" w:hAnsi="Times New Roman" w:eastAsia="Calibri" w:cs="Times New Roman"/>
                  <w:sz w:val="24"/>
                  <w:szCs w:val="24"/>
                </w:rPr>
                <w:t xml:space="preserve">@</w:t>
              </w:r>
              <w:r>
                <w:rPr>
                  <w:rStyle w:val="898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minenergo</w:t>
              </w:r>
              <w:r>
                <w:rPr>
                  <w:rStyle w:val="898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898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e</w:t>
              </w:r>
              <w:r>
                <w:rPr>
                  <w:rStyle w:val="898"/>
                  <w:rFonts w:ascii="Times New Roman" w:hAnsi="Times New Roman" w:eastAsia="Calibri" w:cs="Times New Roman"/>
                  <w:sz w:val="24"/>
                  <w:szCs w:val="24"/>
                </w:rPr>
                <w:t xml:space="preserve">-</w:t>
              </w:r>
              <w:r>
                <w:rPr>
                  <w:rStyle w:val="898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zab</w:t>
              </w:r>
              <w:r>
                <w:rPr>
                  <w:rStyle w:val="898"/>
                  <w:rFonts w:ascii="Times New Roman" w:hAnsi="Times New Roman" w:eastAsia="Calibri" w:cs="Times New Roman"/>
                  <w:sz w:val="24"/>
                  <w:szCs w:val="24"/>
                </w:rPr>
                <w:t xml:space="preserve">.</w:t>
              </w:r>
              <w:r>
                <w:rPr>
                  <w:rStyle w:val="898"/>
                  <w:rFonts w:ascii="Times New Roman" w:hAnsi="Times New Roman" w:eastAsia="Calibri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21-30-48, доб.5591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Ружникова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Елена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994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http://zakupki.gov.ru/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оператора электронной площадки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http://www.rts-tender.ru/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06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 действия результатов предварительного отбора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года с даты внесения записи об участнике предварительного отбора в РКПО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26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начала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 декабря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00 часов 00 минут (время местное)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53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 января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часов 00 минут (время местное)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03"/>
        </w:trPr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82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срока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рассмотрения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95" w:type="pct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 января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оказанию услуг и (или) выполнению работ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ремонту или замене лифтового оборудования, признанного непригодным для эксплуатации, ремонт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лифтовых шахт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(их техническим, функциональным, качественным и иным характеристикам)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3"/>
        <w:gridCol w:w="2892"/>
        <w:gridCol w:w="5680"/>
      </w:tblGrid>
      <w:tr>
        <w:tblPrEx/>
        <w:trPr>
          <w:trHeight w:val="458"/>
          <w:tblHeader/>
        </w:trPr>
        <w:tc>
          <w:tcPr>
            <w:shd w:val="clear" w:color="auto" w:fill="auto"/>
            <w:tcW w:w="30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55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Требования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оказанию услуг и (или)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выполнению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(или)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ремонту или замене лифтового оборудования, признанного непригодным для эксплуатации, ремонту лифтовых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должны удовлетворять требованиям строительных, экологических, санитарно-гигиенических, противопожарных и других норм, действую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щих на территории Российской Федерации.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выполнение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замене, модернизации лифтов, ремонту лифтовых шахт, машинных и блочных помещений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(далее – оказание услуг и (или) выполнение работ)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должн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осуществляться в соответствии с действующими на территории Российской Федерации нормативными документами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Градостроительный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shd w:val="clear" w:color="auto" w:fill="ffffff"/>
              <w:tabs>
                <w:tab w:val="left" w:pos="235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Жилищный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кодекс Российской Федерации;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30.12.2009 г. № 384-Ф3 «Технический регламент о безопасности зданий и сооружений»;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РФ от 22.07.2008 г. № 123-ФЗ «Технический регламент о требованиях пожарной безопасности»;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54.13330.2011 «Здания жилые многоквартирные. Актуализированная редакция СНиП 31-01-2003»;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15.13330.2012 «Каменные и армокаменные конструкции. Актуализированная редакция СНиП II-22-81*»;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63.13330.2012 «Бетонные и железобетонные конструкции. Основные положения.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Актуализированная редакция СНиП 52-01-2003 (с Изменениями № 1,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64.13330.2011 «Деревянные конструкции. Актуализированная редакция СНиП II-25-80»;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70.13330.2012 «Несущие и ограждающие конструкции. Актуализированная редакция СНиП 3.03.01-87»;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16.13330.2011 «Стальные конструкции. Актуализированная редакция СНиП II-23-81*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17.13330.2011 «Кровли. Актуализированная редакция СНиП II-26-76»;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20.13330.2011 «Нагрузки и воздействия. Актуализированная редакция СНиП 2.01.07-85*»;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22.13330.2011 «Основания зданий и сооружений. Актуализированная редакция СНиП 2.02.01-83*»;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24.13330.2011 «Свайные фундаменты. Актуализированная редакция СНиП 2.02.03-85»;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28.13330.2012 «Защита строительных конструкций от коррозии. Актуализированная редакция СНиП 2.03.11-85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30.13330.2012 «Внутренний водопровод и канализация зданий. Актуализированная редакция СНиП 2.04.01-85*»;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50.13330.2012 «Тепловая защита зданий. Актуализированная редакция СНиП 23-02-2003»;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60.13330.2012 «Отопление, вентиляция и кондиционирование воздуха. Актуализированная редакция СНиП 41-01-2003»;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62.13330.2011* «Газораспределительные системы. Актуализированная редакция СНиП 42-01-2002 (с Изменением № 1)»;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131.13330.2012 «Строительная климатология. Актуализированная редакция СНиП 23-01-99* (с Изменением № 2»;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numPr>
                <w:ilvl w:val="0"/>
                <w:numId w:val="21"/>
              </w:numPr>
              <w:ind w:left="0" w:firstLine="0"/>
              <w:jc w:val="both"/>
              <w:spacing w:after="0" w:line="240" w:lineRule="auto"/>
              <w:tabs>
                <w:tab w:val="left" w:pos="235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31-110-2003 «Проектирование и монтаж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электроустановок жилых и общественных зданий»;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900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31565-2012 «Кабельные изделия. Требования пожарной безопасности»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53780-2010 «Лифты. Общие требования безопасности к устройству и установки»;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55967-2014 «Лифты. Специальные требования безопасности при установке новых лифтов в существующие здания»;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55965-2014 «Лифты. Общие требования к модернизации находящихся в эксплуатации лифтов»;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0"/>
              <w:numPr>
                <w:ilvl w:val="0"/>
                <w:numId w:val="18"/>
              </w:numPr>
              <w:ind w:left="40" w:firstLine="0"/>
              <w:jc w:val="both"/>
              <w:spacing w:after="0" w:line="240" w:lineRule="auto"/>
              <w:tabs>
                <w:tab w:val="left" w:pos="29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Р 55963-2014 «Лифты. Диспетчерский контроль. Общие технические требования»;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Данный перечень нормативных правовых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 уточняется в документации об электронном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lightGray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lightGray"/>
                <w:lang w:eastAsia="ru-RU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 оказываемых услуг и (или) выполняемых работ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Оказание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должно осуществляться в полном объеме, качественно и в строгом соответствии с нормами и требованиями ГОСТ, СП, СНиП,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СанПин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, ПУЭ, НПБ, нормативных документов в области охраны и безопасности производства работ,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энерго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- и ресурсосбережения, а также требованиями соответствующих государственных надзорных и инспектирующих органов.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1) установка информационных щитов с указанием наименования объекта, наименования заказчика, исполнителя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 (подрядной организации, генерального подрядч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ика), фамилии, должности и номеров телефонов ответственного производителя работ по объекту и представителя органа местного самоуправления, курирующего строительство, сроков начала и окончания работ, схемы объекта производится за счет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2) ремонтные 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боты должны производиться в будние дни в период с 8.00 часов до 21.00 часа (по письменному согласованию с заказчиком ремонтные работы могут проводиться в выходные и праздничные дни с учетом соответствующих требований законодательства Российской Федерации);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3) своевременное, но не реже одно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 раза в неделю, обеспечение погрузки, транспортировки и утилизации (передачи на полигон) строительного мусора за счет подрядной организации (место утилизации строительного мусора согласовывается подрядной организацией с органами местного самоуправления);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4) еженедельное (каж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дый четверг) предоставление заказчику в электронном виде на электронную почту фотоотчета с письменными пояснениями о ходе выполнения работ, а также обеспечение возможности круглосуточной связи представителя заказчика с представителем подрядной организации;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5) обеспечение за счет подрядной организации сохранности материалов, оборудования, стоянки строительной техники и другого имущества, необходимого для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услуг и (или) выполнения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работ, ограждение рабочей площадки с момента начала работ до сдачи объекта в эксплуатацию.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используемых в ходе оказания услуг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выполнения работ материалов и оборудования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При оказании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выполнении работ должны использоваться материалы, имеющие сертификаты (сертификат соответствия, серти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фикат пожарной безопасности, санитарно-эпидемиологическое заключение), технические паспорта или другие документы, удостоверяющие качество используемых при ремонтных и монтажных работах материалов и оборудования, которые предоставляются Заказчику при сдаче.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Качество используемых материалов должно соответствовать действующим ГОСТ, ТУ.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Сроки эксплуатации оборудования – не менее указанных в паспорте завода-изготовителя.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Требования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 техническим характеристикам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используемых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в ходе оказания услуг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выполнения работ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материалов и оборудования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Количественные и технические характеристики используемых материалов и оборудования определяются в соответствии с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документацией об электронном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аукционе и договором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указания на товарные знаки применяемых материалов следует читать «или эквивалент».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trHeight w:val="424"/>
        </w:trPr>
        <w:tc>
          <w:tcPr>
            <w:shd w:val="clear" w:color="auto" w:fill="auto"/>
            <w:tcW w:w="308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Требование к календарному плану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оказания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услуг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и (или) выполнения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10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Оказание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(или) выполнение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должно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осуществляться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соответствии с прилагаемым к договору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графиком оказания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(или) 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Сведения о существенных условиях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договора о проведении капитального ремонта, которые будут в дальнейшем установлены в документации об электронном аукционе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6"/>
        <w:tblW w:w="4889" w:type="pct"/>
        <w:tblInd w:w="108" w:type="dxa"/>
        <w:tblLook w:val="04A0" w:firstRow="1" w:lastRow="0" w:firstColumn="1" w:lastColumn="0" w:noHBand="0" w:noVBand="1"/>
      </w:tblPr>
      <w:tblGrid>
        <w:gridCol w:w="560"/>
        <w:gridCol w:w="2099"/>
        <w:gridCol w:w="6478"/>
      </w:tblGrid>
      <w:tr>
        <w:tblPrEx/>
        <w:trPr>
          <w:tblHeader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Условие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5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условия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5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Забайкальский фонд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многоквартирных домов, органы местного самоуправления и (или) государственные, муниципальные бюджетные, казенные учреждения в случаях, предусмотренных частью 4 статьи 182 Жилищного кодекса Российской Федерации, осуществляющие функции технического заказчика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о проведении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будет размещен в составе документации об электронном аукционе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 оказание услуг и (или) выполнение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замене, модернизации лифтов, ремонту лифтовых шахт, машинных и блочных помещений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Предметом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является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замене, модернизации лифтов, ремонту лифтовых шахт, машинных и блочных помещений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многоквартирных домов, расположенных на территории Забайкальского края.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Оказание услуг и (или) выполнение 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абот буд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осуществл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яться в отношении объектов, указанных в ориентировочном адресном перечне, содержащемся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в разделе IV Документации о проведении предварительного отбора и размещенном на официальном сайте Министерства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жилищно-коммунального хозяйства, энергетики, цифровизации и связи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Забайкальского края в информационно-телекоммуникационной сети «Интернет» http://мин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энерго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.забайкальскийкрай.рф/.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Цена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снижена по соглашению сторон при уменьшении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услуг и (или)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contextualSpacing/>
              <w:ind w:left="0" w:hanging="5"/>
              <w:jc w:val="both"/>
              <w:tabs>
                <w:tab w:val="left" w:pos="45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и объемов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 производится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соблюдении заказчиком положений, установленных частью 5 статьи 189 Жилищного кодекса Российской Федерации. Иные положения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изменению не подлежат.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оплаты услуг и (или)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Par0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оказания услуг и (или) 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и сроки приемки оказанных услуг и (или) выполненных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Приемка результатов услуг и (или)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после оказания и (или) выполнения в полном объеме услуг и (или) работ согласно графику оказания услуг и (или)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приемки оказанных услуг и (или) выполненных работ устанавливаются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соответствия качества объемов оказанных услуг и (или) выполненных работ, установленных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Заказчик вправе привлекать независимых экспертов.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оказанных услуг и (или) выполненных работ должен быть согласован с органом местного самоуправления, а также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услуг и (или) работ необходимо предоставить Заказчику комплект исполнительной документации на оказанные услуги и (или) выполненные работы в соответствии с Требованиями к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услуг и (или) работ, конструкций, участков сетей инженерно-т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ехнического обеспечения (РД-11-02-2006), утвержденными приказом Федеральной службы по экологическому, технологическому и атомному надзору от 26 декабря 2006 года № 1128, а также другими нормативными документами в сфере строительства и капитального ремонта.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оказания услуг и (или) выполнения работ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Заказчиком в документации об электронном аукционе в пределах территории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Обеспечение исполнения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Исполнение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обеспечивается: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банковс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обеспечительным платежом.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Способ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определяетс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 участником электронного аукциона, с которым заключается такой договор, самостоятельно из способов, предусмотренных пунктом 206 Положения о привлечении специализированной некоммерческой организацией, осуществляющей деятельность, направленную на обеспечени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утвержденном постановлением Правительства Российск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ой Федерации от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1 июля 2016 года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615 (далее – Положение).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заказчиком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Размер обеспечения исполнения обязательств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может превышать тридцать процентов начальной (максимальной) цены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указанной в извещении о проведении электронного аукциона.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Гарантийный срок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pStyle w:val="899"/>
              <w:jc w:val="both"/>
              <w:tabs>
                <w:tab w:val="left" w:pos="6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о гарантийном сроке определяются Заказчиком в документации об электронном аукционе.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Срок предоставления гарантий на оказанные услуги и (или) выполненные работы не может быть менее 5 лет со дня подписания соответствующего акта о приемке оказанных услуг и (или) выполненных работ.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1137"/>
        </w:trPr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Ответственность Заказчика и Исполнителя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Условия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предусматривающие ответственность сторон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неисполнение или ненадлежащее исполнение обязательств по такому договору, определяются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Порядок заключения договора о проведении капитального ремонта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заключается Заказчиком в соответствии с Гражданским кодексом Российской Федерации и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6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Порядок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определяется Заказчиком в документации об электронном аукционе.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4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Другие существенные 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57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Предмет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место оказания услуг и (или) проведения работ, виды услуг и (или) работ не могут изменяться в ходе его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Положением. Сроки оказания услуг и (или) выполнения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соглашению сторон могут быть продлены на период действия одного из следующих обстоятельств при наличии документов, подтверждающих такие обстоятельства: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изменение объема оказываемых услуг и (или) выполняемых работ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сторон при согласовании таких изменений собственниками помещений в многоквартирном доме, уполномоченным представителем собственников таких помещений или органами местного самоуправления в случаях, предусмотренных законодательством Российской Федерации;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в многоквартирном доме подрядной организации к оказанию услуг и (или) выполнению работ по капитальному ремонту по причинам, не связанным с неисполнением или ненадлежащим исполнением такой организацией договора о проведении капитального ремонта;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приостановка оказания услуг и (или) выполнения работ по капитальному ремонту в связи с наступлением отопительного сезона и (или) неблагоприятных погодных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При исполнении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допускается перемена подрядчика, за исключением случаев, если новый подрядчик является правопреемником подрядчика по договору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вследствие реорганизации юридического лица в порядке, предусмотренном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  <w:tab w:val="left" w:pos="57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Расторжение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допускается: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по соглашению сторон;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по инициативе Заказчика, в том числе в виде одностороннего расторжения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или подрядной организации (основания такого расторжения устанавливаются в договоре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по решению суда по основаниям, предусмотренным законодательством Российской Федерации.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Заказчик вправе расторгнуть договор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одностороннем порядке с взысканием причиненных убытков в следующих случаях: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899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систематическое (2 раза и более) нарушение подрядной организацией сроков оказания услуг и (или) выполнения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задержка подрядной организацией начала оказания услуг и (или) выполнения работ более чем на 5 календарных дней по причинам, не зависящим от Заказчика или собственников помещений в многоквартирном доме;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неоднократное (2 раза и более в течение одного календарного месяца) несоблюдение (отступление от требований, предусмотренных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услуг и (или) работ и (или) технологии проведения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нарушение подрядной организацией сроков оказания услуг и (или) выполнения работ продолжительностью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календарных дней по любому из многоквартирных домов;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ind w:firstLine="14"/>
              <w:jc w:val="both"/>
              <w:tabs>
                <w:tab w:val="left" w:pos="298" w:leader="none"/>
                <w:tab w:val="left" w:pos="6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нарушение срока замены банковской гарантии, установленного договором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отзыве лицензии, банкротстве или ликвидации банка-гаранта более чем на 2 рабочих дня;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widowControl w:val="off"/>
              <w:tabs>
                <w:tab w:val="left" w:pos="49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выявление Заказчиком после заключения договора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неисполнение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срока банковской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договором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 проведении 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сроков оказания услуг и (или)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Ориентировочные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адресные перечни многоквартирных домов, на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оказание услуги и (или)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выполнение работ по ремонту или замене лифтового оборудования, признанного непригодным для эксплуатации, ремонт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у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лифтовых шахт в которых в дальнейшем будет проводиться электронный аукцион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pStyle w:val="900"/>
        <w:ind w:left="108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Ориентировочные адресные перечни многоквартирных домов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pStyle w:val="899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Ориентировочный адресный перечень многоквартирных домов, 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оказание услуг и (или)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выполнение работ в которых в дальнейшем будет проводиться электронный аукцион, размещен на сайте органа по ведению РКПО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http://минэнерго.забайкальскийкрай.рф/) в разделе «Деятельность» / «Жилищно-коммунальное хозяйство» / «Капитальный ремонт многоквартирных домов» / «Предварительный отбор подрядных организаций»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pStyle w:val="900"/>
        <w:ind w:left="108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6"/>
        </w:numPr>
        <w:ind w:left="0" w:firstLine="0"/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к участникам предварительного отбора, установленные пунктом 23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572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Borders>
              <w:bottom w:val="single" w:color="auto" w:sz="4" w:space="0"/>
            </w:tcBorders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Borders>
              <w:top w:val="single" w:color="auto" w:sz="4" w:space="0"/>
            </w:tcBorders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Требования к участникам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062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предварительного отбора может являться юридическое лицо независимо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формы или индивидуальный предприниматель, претендующие на включение в РКПО (далее – Участник).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 проведении предварительного отбора к его Участнику устанавливаются следующие требования: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саморегулируемой организации в области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реконструкции, капитального ремонта объектов капитального строительства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задолженности по уплате налогов,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сборов и иных обязательных платежей в бюджеты бюджетной системы Российской Федерации за прошедший календарный год, за исключением случаев обжалования им задолженностей по обязательным платежам в бюджеты бюджетной системы Российской Федерации в соответствии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 законодательством Российской Федерации,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у Участника за 3 года, предшествующие дате окончания срока подачи заявок на участие в предварительном отборе,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договора, в том числе заключенного в соответствии с Положением, по строительству, реконструкции и (или) капитальному ремонту объектов капитального строительства, относящихся к той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услуг и (или) работ, что и предмет предварительного отбора,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условий такого контракта или договора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неприостановление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деятельности Участника в порядке, предусмотренном Кодексом Российской Федерации об административных правонарушениях, на дату проведения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конфликта интересов, 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случаев, при которых руководитель Заказчика, член комиссии по проведению предварительного отбора, комиссии по осуществлению закупок, должностное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 Заказчика, осуществляющее организационное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привлечения подрядных организаций, состоят в браке с 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еждения или унитарного предприятия либо иных органов управления юридического лица - Участника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неполнородными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(имеющими общих отца или мать) братьями или сестрами), усыновителями указанных физических лиц или усыновленными ими. Под выгодоприобретателями понимаются физические 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напрямую или косвенно (через юридическое лицо или через несколько 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неприменение в отношении Участника – физического лица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либо руководителя, членов коллегиального исполнительного органа или главного бухгалтера Участника –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наказания в виде дисквалификации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поставщиков (подрядчиков, исполнителей), ведение которого осуществляется уполномоченным федеральным органом исполнительной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власти в соответствии с законодательством Российской Федерации о контрактной системе в сфере закупок товаров, работ, услуг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для обеспечения государственных и муниципальных нужд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сведений об Участнике в реестре недобросовестных подрядных организаций, ведение которого осуществляется федеральным органом исполнительной власти в порядке, установленном разделом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невозможность для Участника являться юридическим лицом, местом регистрации которого является государство или территория, включе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информации при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проведении финансовых операций в отношении юридических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в штате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установленном в приложении № 2 «Требования к минимальному количеству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квалифицированного персонала, входящего в штат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 Документации о проведении предварительного отбора, но не ниже количества, установленного пунктом 2 части 6 статьи 55.5 Градостроительного кодекса Российской Федерации;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 у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года, предшествующие дате окончания срока подачи заявок на участие в предварительном отборе, опыта оказания услуг и (или)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работ, аналогичных предмету проводимого предварительного отбора, не менее чем по 3 исполненным контрактам и (или) договорам, предметом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являлись строительство, реконструкция, капитальный ремонт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являющихся объектами капитального строительства, ремонт (замена) лифтового оборудования, разработка проектной документации, в том числе по договорам, заключенным в соответствии с Положением. При этом минимальный размер стоимости оказанных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по указанным исполненным контрактам и (или) договорам установлен в приложении № 3 «Минимальный размер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услуг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предварительного отбора в размере не более 10 процентов предель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размера обязательств по договорам строительного подряда, в соответствии с которым Участником как членом саморегулируемой организации, основанной на членстве лиц, осуществляющих строительство, внесен взнос в компенсационный фонд обеспечения договорных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штате Участника предварительного отбора по месту основной работы не менее одного работника, ответственного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работ по монтажу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пусконаладке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устройств (систем вертикального транспорта) – лифтов, платформ подъемных для инвалидов, эскалаторов, пассажирских конвей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ров, уровень квалификации которого соответствует уровню,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соответствующим профессиональным стандартом,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случае проведения предварительного отбора на включение в реестр квалифицированных подрядных организаций по предмету 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аукциона, предусмотренному подпунктом «в» пункта 8 Положения.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отношении Участника решения об исключ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подрядной организации из РКПО в случае установления одного из фактов, указанных в подпунктах «з» - «к» пункта 66 Положения, в течение года до даты рассмотрения заявок на участие в предварительном отборе комиссией по проведению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ind w:firstLine="36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360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содержанию, форме и составу заявки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 предусмотренные пунктами 37 и 38 Положения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W w:w="488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9"/>
        <w:gridCol w:w="5595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Требования к содержанию, форме и составу заявки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 Заявку на участие в предварительном отборе (далее – Заявка) рекомендуется подготовить и представить по форме, установленной в приложении № 1 к Документации о проведении предварительного отбора.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Заявка, а также все сведения и документы, которые входят в ее состав в соответствии с Документацией о проведении предварительного отбора, подаются через оператора электронной площадки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документа.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Заявка должна быть подписана усиленной неквалифицированной электронной подписью.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Ключи усиленных неквалифицированных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06 апреля 2011 года № 63-ФЗ «Об электронной подписи».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 Заявка должна содержать: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следующие сведения и документы об Участнике,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подавшем Заявку: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наименование, сведения об организационно-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имя, отчество, паспортные данные, сведения о месте жительства, номер контактного телефона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юридических лиц или засвидетельствованная в нотариальном порядке копия такой выписки, полученная не ранее чем за 30 календарных дней до даты подачи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Заявки, –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 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индивидуальных предпринимателей или засвидетельствованная в нотариальном порядке копия такой выписки, полученная не ранее чем за 30 календарных дней до даты подачи Заявки,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физического лица, зарегистрированного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учредительных документов Участника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государства, полученная не ранее чем за 6 месяцев до дня подачи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Заявки, –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  <w:u w:val="single"/>
              </w:rPr>
              <w:t xml:space="preserve">для иностранных лиц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0"/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подтверждающий полномочия лица на осуществление действий от имени Участника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следующие документы, подтверждающие соответствие Участника требованиям, установленным пунктом 23 Положения: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справки налогового органа об отсутствии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задолженности по уплате налогов, сборов и иных обязательных платежей в бюджеты бюджетной системы Российской Федерации, полученная не ранее 1 января года, в котором подается Заявка;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копия расчета по страховым взносам, представляемого плательщиками страховых взносов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составленного за последний отчетный период, предшествующий дате подачи Заявки,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уполномоченным органом, с отметкой уполномоченного органа о приеме или с приложением копии документов, подтверждающих прием уполномоченным органом такого расчета в форме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тронного документа, копия штатного расписания, штатно-списочный состав сотрудников, копии трудовых книжек, дипломов, сертификатов, аттестатов и удостоверений, подтверждающих наличие у Участника в штате минимального количества квалифицированного персонала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татно-списочный состав сотрудников рекомендуется представить по форме, установленной в приложении № 4 к Документации о проведении предварительного отбора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 не менее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контрактов и (или) договоров, подтверждающих наличие у Участника, предусмотренного подпунктом «п»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23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минимальный размер стоимости оказанных услуг и (или) выполненных работ по указанным исполненным контрактам и (или) договорам установлен в приложении № 3 «Минимальный размер стоимости оказанных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работ» к Документации о проведении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варительного отбора в размере не более 10 процентов предельного размера обязательств по договорам строительного подряда, в соответствии с которым Участником как членом саморегулируемой организации, основанной на членстве лиц, осуществляющих строительство,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стоимости оказанных услуг и (или) выполненных работ по всем исполненным контрактам и (или) договорам, представленным Участником и соответствующим требованиям пункта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определяется как совокупная стоимость услуг и (или) работ по таким контрактам и (или)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сведения о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контрактов и (или)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выполнении рекомендуется представить по форме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(приложение № 5 к Документации о проведении предварительного отбора).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00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копии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документов, подтверждающих соответствие уровня квалификации раб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отника, указанного в подпункте «р»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пункта 23 Поло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жения, уровню, установленному соответствующим профессиональным стандартом,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со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гласие на обработку персональных данных в соответствии с пунктом 9 статьи 9 Федерального закона от 27 июля 2006 года № 152-ФЗ «О персональных данных» каждого работника, персональные данные которого содержатся в заявке на участие в предварительном отборе.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рекомендуемая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форма представлена в приложении № 7)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,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дата начала срока подачи и изменения заявок на участие в предварительном отборе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Порядок, дата начала срока подачи и изменения заявок на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оператором электронной площадки с участников предварительного отбора и с органа по 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не допускается.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Заявка, а также все сведения и документы, которые входят в ее состав в соответствии с Положением, подаются через оператора электронной площадки в виде электронного документа.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установлена в извещении о проведении предварительного отбора (далее – извещение)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одного предмета предварительного отбора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Участник вправе подать только одну Заявку, пока она не рассмотрена в порядке, предусмотренном Положением, и по ней не принято решение об отказе во включении Участника в РКПО.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  <w:tab w:val="left" w:pos="12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Каждая Заявка, поступившая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срок, указанный в извещении и Документации о проведении предварительного отбора,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регистрируется оператором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электронной площадки с присвоением порядкового номера.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после даты и времени 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Внесение изменений в Заявку осуществляется через сайт оператора электронной площадки в соответствии с регламентом работы электронной площадки. Изменения, которые вносятся в Заявку, должны быть подписаны усиленной неквалифицированной электронной подписью.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Заявок должен быть продлен таким образом,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 с даты размещения на официальном сайте и сайте оператора электронной площадки изменений, вносимых в соответствии с пунктом 21 Положения, до даты окончания срока подачи заявок на участие в предварительном отборе этот срок составлял не менее чем 10 дней.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VIII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 отзыва заявок на участие в предварительном отборе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9"/>
        <w:gridCol w:w="5595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9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Порядок и срок отзыва заявок на участие в предварительном отборе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Участник, подавший Заявку, вправе ее отозвать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требований, установленных Положением.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Заявка может быть отозвана до даты и времени окончания срока подачи Заявок, указанных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Отзыв Заявки осуществляется через сайт оператора электронной площадки в соответствии с регламентом работы электронной площадки.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об отзыве Заявки должно быть подписано усиленной неквалифицированной электронной подписью Участника.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cyan"/>
                <w:lang w:eastAsia="ru-RU"/>
              </w:rPr>
            </w:r>
          </w:p>
        </w:tc>
      </w:tr>
    </w:tbl>
    <w:p>
      <w:pPr>
        <w:ind w:left="142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i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highlight w:val="cyan"/>
          <w:lang w:eastAsia="ru-RU"/>
        </w:rPr>
      </w:r>
    </w:p>
    <w:p>
      <w:pPr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IX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Форма,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и сроки предоставления участникам предварительного отбора разъяснений положений Документации о проведении предварительного отбора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Форма, порядок и сроки предоставления участникам предварительного отбора разъяснений положений Документации о проведении предварительного отбора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Любое заинтересованное лицо в соответствии с регламентом работы электронной площадки вправе направить в орган по вед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ению РКПО в виде электронного документа через оператора электронной площадки запрос о разъяснении Документации о проведении предварительного отбора (далее – запрос). Запрос рекомендуется направлять по форме, установленной в приложении № 6 к Документации 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проведении предварительного отбора.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случае если запрос поступил в орган по ведению РКПО не позднее чем за 5 рабочих дней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срока подачи Заявок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установленной в извещении и разделе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«Общие положения» Документации о проведении предварительного отбора, орган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ведению РКПО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лица, от которого поступил запрос.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указанной документации по предварительному отбору не должно изменять ее суть.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пункте 34 Положения запросы, поступившие позднее чем за 5 рабочих дней до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срока подачи Заявок, не принимаются оператором электронной площадки.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142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426" w:leader="none"/>
        </w:tabs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X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Порядок рассмотрения заявок на участие в предварительном отборе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488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846"/>
        <w:gridCol w:w="5596"/>
      </w:tblGrid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  <w:tblHeader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Общие положения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2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Поступившие от Участников Заявки рассматриваются комиссией по проведению предварительного отбора подрядных организаций (далее – комиссия по проведению предварительного отбора).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2"/>
              <w:jc w:val="both"/>
              <w:spacing w:after="0" w:line="240" w:lineRule="auto"/>
              <w:tabs>
                <w:tab w:val="left" w:pos="37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предварительного отбора осуществляет рассмотрение Заявок на соответствие требованиям, установленным пунктом 30 Положения, ведет и оформляет необходимые протоколы по всем процедурам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проводимым в ходе осуществления предварительного отбора, рассматривает вопрос о включении (об отказе во включении) участника предварительного отбора в реестр квалифицированных подрядных организаций и другие действия в соответствии с настоящим Положением.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период рассмотрения Заявок комиссия по проведению предварительного отбора: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осуществляет проверку Заявок на соответствие установленным требованиям;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проводит проверку Заявки и входящих в ее состав документов на предмет объективности, достоверности, отсутствия противоречий, в том числе проводит такие проверки в срок,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превышающий 14 календарных дней, по заявлениям физических и (или) юридических лиц, поступившим в ее адрес или в адрес органа по ведению РКПО, о недостоверности информации, представленной Участником;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принимает решения по результатам проводимых проверок в случае, если они проводятся в связи с поступившими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явлениями, указанными в подпункте «б» настоящего пункта. При этом такое решение должно быть принято комиссией по проведению предварительного отбора до заседания, на котором будет рассматриваться вопрос о включении (об отказе во включении) Участника в РКПО.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 основании результатов рассмотрения Заявок комиссия по проведению предварительного отбора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одно из следующих решений: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включение Участника в РКПО;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отказ во включении Участника в РКПО в случаях, указанных в пункте 53 Положения.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Решение об отказе во включении Участника в РКПО принимается в следующих случаях: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несоответствие Участника требованиям, установленным пунктом 23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Заявка не соответствует требованиям, установленным пунктом 38 Положения;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установление факта представления Участником недостоверной информации (сведений, документов) в составе Заявки.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 случае установления факта подачи одним Участником 2 и более Заявок при условии, что поданные ранее Заявки таким Участником не отозваны, все Заявки такого Участника не рассматриваются.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Результаты рассмотрения Заявок и решение вопросов, указанных в подпунктах 2 и 3 настоящего пункта, оформляются протоколом комиссии по проведению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ительного отбора, который подписывается всеми членами комиссии, участвующими в заседании. Протокол оформляется и размещается органом по ведению РКПО на официальном сайте и сайте оператора электронной площадки в течение 2 рабочих дней со дня его подписания.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 протоколе указывается информация о месте, дате и времени рассмотрения Заявок, номер предварительного отбора, наименован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(для юридического лица), адрес электронной площадки в сети «Интернет», на которой проводится предварительный отбор, фамилия, имя, отчество (при наличии) (для физического лица, зарегистрированного в качестве индивидуального предпринимателя), адрес юридич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еского лица и электронный адрес, идентификационный номер налогоплательщика каждого Участника, наличие информации и документов, предусмотренных Документацией о проведении предварительного отбора, состав членов комиссии, участвующих в рассмотрении Заявок,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инятые решения. При принятии комиссией по проведению предварительного отбора решения об отказе во включении Участника в РКПО в протоколе указывается обоснование такого решения со ссылками на нормы Положения, которым не соответствует Участник, на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о проведении предварительного отбора, которым не соответствует Заявка этого Участника, на документы, подтверждающие такое несоответствие.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ind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При принятии комиссией по проведению предварительного отбора решения о включении Участника в РКПО в протоколе указывается 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размер обязательств Участника по обязательствам по договорам подряда на подготовку проектной документации, по договорам строительного подряда, заключаемым с использованием конкурентных способов заключения договоров, в соответствии с которым такой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предварительного отбора, как член соответствующей саморегулируемой организации, внес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2"/>
              <w:jc w:val="both"/>
              <w:spacing w:after="0" w:line="240" w:lineRule="auto"/>
              <w:widowControl w:val="off"/>
              <w:tabs>
                <w:tab w:val="left" w:pos="37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по ведению 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обязан осуществлять аудио- и (или) видеозаписи всех заседаний комиссии по проведению предварительного отбора. Любой Участник и (или) его представитель вправе участвовать в заседаниях комиссии и осуществлять аудио- и (или) видеозаписи заседания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64"/>
        </w:trPr>
        <w:tc>
          <w:tcPr>
            <w:shd w:val="clear" w:color="auto" w:fill="auto"/>
            <w:tcW w:w="379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5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1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признании предварительного отбора несостоявшимся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062" w:type="pct"/>
            <w:vAlign w:val="center"/>
            <w:textDirection w:val="lrTb"/>
            <w:noWrap w:val="false"/>
          </w:tcPr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случае если после окончания срока подачи Заявок подана единственная Заявка или не подано ни одной такой заявки,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случае если предварительный отбор признан несостоявшимся в связи с подачей единственной Заявки и Участник, подавший такую Заявку, соответствует требованиям, установленным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пунктом 23 Положения, то он включается в РКПО.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 случае если предварительный отбор признан несостоявшимся на основании отсутствия Заявок, орган по ведению РКПО вправе объявить процедуру предварительного отбора повторно.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по результатам рассмотрения комиссией по проведению предварительного отбора Заявок, поданных Участниками до даты окончания срока подачи Заявок, принято решение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невключении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РКПО всех Участников или о включении в РКПО только одного Участника, предварительный отбор признается несостоявшимся.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35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 УЧАСТИЕ В ПРЕДВАРИТЕЛЬНОМ ОТБОРЕ ПОДРЯДНЫХ ОРГАНИЗАЦИЙ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 ИЗВЕЩЕНИЮ № _______________ ОТ __________________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left="584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4"/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______________ 2</w:t>
      </w:r>
      <w:r>
        <w:rPr>
          <w:rFonts w:ascii="Times New Roman" w:hAnsi="Times New Roman" w:eastAsia="Calibri" w:cs="Times New Roman"/>
          <w:sz w:val="24"/>
          <w:szCs w:val="24"/>
        </w:rPr>
        <w:t xml:space="preserve">0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 года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Изучив условия Извещения о проведении предварительного отбора подрядных организаций № __________ от __________, и принимая установленные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нем требования и условия,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(указывается полное наименование, организационно правовая форма участника предварительного отбора или ФИО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лице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(указывается фамилия, имя, отчество (при наличии) представителя участника предварительного отбора – юридического лица), действующего на основании (указывается документ, на основании которого действует представитель юридического лица или физического лица)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просит рассмотреть заявку на участие в предварительном отборе подрядных организаций по следующему предмету электронного аукциона: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(указывается предмет предварительного отбора) 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Документация о проведении предварительного отбора изучена в полном объеме и признана полной и достаточной для подготовки настоящей Заявки.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Настоящим гарантируем достоверность представленной информации и подтверждаем право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Министерства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жилищно-коммунального хозяйства, энергетики, цифровизации и связи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Забайкальского края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получать в открытых информационных источниках, в уполномоченных органах власти информацию, уточняющую представленные нами в заявке сведения.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Сообщаем о себе следующие сведения: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а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) для юридического лица: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об организационно-правовой форме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Место нахождения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юридического лица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(при наличии) учредителей (ФИО учредителей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членов коллегиального исполнительного органа (ФИО членов коллегиального исполнительного органа / ИНН)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_____________/ИНН________________,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 _______________,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 _____________/ИНН 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лица, исполняющего функции единоличного исполнительного органа участника (ФИО такого лица / 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лица, уполномоченного на осуществление действий от имени участника предварительного отбора и на подачу заявки / ИНН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_______________/ИНН ________________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б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) для физического лица, зарегистрированного в качестве индивидуального предпринимателя: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Style w:val="89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Фамилия, имя отчество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Номер контактного телефона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указывается полное наименование и организационно-правовая форма юридического лица или Фамилия Имя Отчество (при наличии отчества) для индивидуального предпринимателя)       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соответствие требованиям, установленным в Документации о проведении предварительного отбора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настоящей заявке на участие в предварительном отборе прилагаются документы, являющиеся неотъемлемой частью заявки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   (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указывается наименование участника предварительного отбора)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участие в предварительном отборе.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Опись прилагаемых документов: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895"/>
        <w:tblW w:w="0" w:type="auto"/>
        <w:tblInd w:w="108" w:type="dxa"/>
        <w:tblLook w:val="04A0" w:firstRow="1" w:lastRow="0" w:firstColumn="1" w:lastColumn="0" w:noHBand="0" w:noVBand="1"/>
      </w:tblPr>
      <w:tblGrid>
        <w:gridCol w:w="515"/>
        <w:gridCol w:w="7189"/>
        <w:gridCol w:w="1532"/>
      </w:tblGrid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vAlign w:val="bottom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____ л.;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16" w:type="dxa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…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295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45" w:type="dxa"/>
            <w:textDirection w:val="lrTb"/>
            <w:noWrap w:val="false"/>
          </w:tcPr>
          <w:p>
            <w:pPr>
              <w:tabs>
                <w:tab w:val="left" w:pos="113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____ 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ТРЕБОВАНИЯ К МИНИМАЛЬНОМУ КОЛИЧЕСТВУ КВАЛИФИЦИРОВАННОГО ПЕРСОНАЛА, ВХОДЯЩЕГО В ШТАТ УЧАСТНИКА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Участником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отбора должны быть соблюдены следующие требования к минимальному количеству квалифицированного персонала, входящего в штат Участника: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индивидуальным предпринимателям, а также руков</w:t>
      </w:r>
      <w:r>
        <w:rPr>
          <w:rFonts w:ascii="Times New Roman" w:hAnsi="Times New Roman" w:cs="Times New Roman"/>
          <w:sz w:val="24"/>
          <w:szCs w:val="24"/>
        </w:rPr>
        <w:t xml:space="preserve">одителям юридического лица, самостоятельно организующим строительство, реконструкцию, капитальный ремонт, снос объектов капитального строительства, - наличие высшего образования соответствующего профиля и стажа работы по специальности не менее чем пять лет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наличию у индивидуального предпринимателя или юридического лица специалистов по организации строительства (главных инженеров проектов), трудовая функция </w:t>
      </w:r>
      <w:r>
        <w:rPr>
          <w:rFonts w:ascii="Times New Roman" w:hAnsi="Times New Roman" w:cs="Times New Roman"/>
          <w:sz w:val="24"/>
          <w:szCs w:val="24"/>
        </w:rPr>
        <w:t xml:space="preserve">которых включает соответственно организацию выполнения работ по строительству, реконструкции, капитальному ремонту, сносу объектов капитального строительства и сведения о которых включены в национальные реестры специалистов, предусмотренные статьей 55.5-1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к</w:t>
      </w:r>
      <w:r>
        <w:rPr>
          <w:rFonts w:ascii="Times New Roman" w:hAnsi="Times New Roman" w:cs="Times New Roman"/>
          <w:sz w:val="24"/>
          <w:szCs w:val="24"/>
        </w:rPr>
        <w:t xml:space="preserve">одекса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- не менее чем два специалиста по месту основной работы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СПРАВОЧНО (в соответствии со статьей 55.5-1 Градостроительного кодекса Российской Федерации):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Специалистом по организации строительства является физическое лицо, которое имеет право осуществлять по трудовому договору, заключенному</w:t>
      </w:r>
      <w:r>
        <w:rPr>
          <w:rFonts w:ascii="Times New Roman" w:hAnsi="Times New Roman" w:cs="Times New Roman"/>
          <w:sz w:val="24"/>
          <w:szCs w:val="24"/>
        </w:rPr>
        <w:t xml:space="preserve"> с индивидуальным предпринимателем или юридическим лицом, трудовые функции по организации выполнения работ по строительству, реконструкции, капитальному ремонту, сносу объектов капитального строительства, в том числе в должности главного инженера проекта.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должностным обязанностям специалистов по организации строительства в том числе относятся: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приемка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подписание следующих документов: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приемки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акта, подтверждающего соответствие параметров постр</w:t>
      </w:r>
      <w:r>
        <w:rPr>
          <w:rFonts w:ascii="Times New Roman" w:hAnsi="Times New Roman" w:cs="Times New Roman"/>
          <w:sz w:val="24"/>
          <w:szCs w:val="24"/>
        </w:rPr>
        <w:t xml:space="preserve">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акта о подключении (технол</w:t>
      </w:r>
      <w:r>
        <w:rPr>
          <w:rFonts w:ascii="Times New Roman" w:hAnsi="Times New Roman" w:cs="Times New Roman"/>
          <w:sz w:val="24"/>
          <w:szCs w:val="24"/>
        </w:rPr>
        <w:t xml:space="preserve">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организаций, основанных на членстве лиц, осуществляющих строительство.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высшего образования по специальности или направлению подготовки в области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стажа работы на инженерных</w:t>
      </w:r>
      <w:r>
        <w:rPr>
          <w:rFonts w:ascii="Times New Roman" w:hAnsi="Times New Roman" w:cs="Times New Roman"/>
          <w:sz w:val="24"/>
          <w:szCs w:val="24"/>
        </w:rPr>
        <w:t xml:space="preserve"> должностях не менее чем три года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общего трудового стажа по профессии,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 законом</w:t>
      </w:r>
      <w:r>
        <w:rPr>
          <w:rFonts w:ascii="Times New Roman" w:hAnsi="Times New Roman" w:cs="Times New Roman"/>
          <w:sz w:val="24"/>
          <w:szCs w:val="24"/>
        </w:rPr>
        <w:t xml:space="preserve"> 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 реже одного раза в пять лет прохождение в соответствии с Федеральным законом </w:t>
      </w:r>
      <w:r>
        <w:rPr>
          <w:rFonts w:ascii="Times New Roman" w:hAnsi="Times New Roman" w:cs="Times New Roman"/>
          <w:sz w:val="24"/>
          <w:szCs w:val="24"/>
        </w:rPr>
        <w:t xml:space="preserve">от 3 июля 2016 года № 238-ФЗ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независимой оценке квалификации»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оценки квалификации физического лица, претендующ</w:t>
      </w:r>
      <w:r>
        <w:rPr>
          <w:rFonts w:ascii="Times New Roman" w:hAnsi="Times New Roman" w:cs="Times New Roman"/>
          <w:sz w:val="24"/>
          <w:szCs w:val="24"/>
        </w:rPr>
        <w:t xml:space="preserve">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по строительству, реконструкции, капитальному ремонту, сносу объекта капитального строительства,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55.5-1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наличие документа, подтверждающ</w:t>
      </w:r>
      <w:r>
        <w:rPr>
          <w:rFonts w:ascii="Times New Roman" w:hAnsi="Times New Roman" w:cs="Times New Roman"/>
          <w:sz w:val="24"/>
          <w:szCs w:val="24"/>
        </w:rPr>
        <w:t xml:space="preserve">его право иностранного гражданина на осуществление трудовой деятельности на территории Российской Федерации, за исключением случаев, если в соответствии с федеральными законами или международными договорами Российской Федерации такой документ не требуется;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отсутствие непогашенной или неснятой судимости за совершение умышленного преступления.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i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3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МИНИМАЛЬНЫЙ РАЗМЕР СТОИМОСТИ ОКАЗАННЫХ УСЛУГ И (ИЛИ) ВЫПОЛНЕННЫХ РАБОТ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Style w:val="895"/>
        <w:tblW w:w="9494" w:type="dxa"/>
        <w:jc w:val="center"/>
        <w:tblLook w:val="04A0" w:firstRow="1" w:lastRow="0" w:firstColumn="1" w:lastColumn="0" w:noHBand="0" w:noVBand="1"/>
      </w:tblPr>
      <w:tblGrid>
        <w:gridCol w:w="564"/>
        <w:gridCol w:w="5318"/>
        <w:gridCol w:w="3612"/>
      </w:tblGrid>
      <w:tr>
        <w:tblPrEx/>
        <w:trPr>
          <w:jc w:val="center"/>
          <w:trHeight w:val="3552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  <w:tc>
          <w:tcPr>
            <w:tcW w:w="53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обязательств по договорам строительного подряда, в соответствии с которым Участником как членом саморе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гулируемой организации, основанной на членстве лиц, осуществляющих строительство, внесен взнос в компенсационный фонд обеспечения договорных обязательств, сформированный в соответствии с частью 2 статьи 55.16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стоимости оказанных услуг и (или) выполненных работ по исполненным контрактам и (или) договорам*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500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3 миллиарда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0,17 %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37"/>
        </w:trPr>
        <w:tc>
          <w:tcPr>
            <w:tcW w:w="564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10 миллиардов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Align w:val="center"/>
            <w:vMerge w:val="restart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0,05 % от предельного размера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4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миллиардов рублей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ответственности члена саморегулируемой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12" w:type="dxa"/>
            <w:vMerge w:val="continue"/>
            <w:textDirection w:val="lrTb"/>
            <w:noWrap w:val="false"/>
          </w:tcPr>
          <w:p>
            <w:pPr>
              <w:pStyle w:val="899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Размер стоимости оказанных</w:t>
      </w:r>
      <w:r>
        <w:rPr>
          <w:rFonts w:ascii="Times New Roman" w:hAnsi="Times New Roman" w:cs="Times New Roman"/>
          <w:sz w:val="24"/>
          <w:szCs w:val="24"/>
        </w:rPr>
        <w:t xml:space="preserve"> услуг и (или) выполненных работ по всем исполненным контрактам и (или) договорам, представленным Участником и соответствующим требованиям пункта 23 Положения, определяется как совокупная стоимость услуг и (или) работ по таким контрактам и (или) договорам.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b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b/>
          <w:sz w:val="24"/>
          <w:szCs w:val="24"/>
          <w:highlight w:val="cyan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ШТАТНО-СПИСОЧНЫЙ СОСТАВ СОТРУДНИКОВ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Участник предварительного отбора подрядных организаций: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(указывается полное наименование и организационно правовая форма для юридического лица или Ф.И.О. (при наличии отчества) для индивидуального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u w:val="single"/>
          <w:lang w:eastAsia="ru-RU"/>
        </w:rPr>
        <w:t xml:space="preserve">предпринимателя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.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highlight w:val="cy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"/>
        <w:gridCol w:w="1357"/>
        <w:gridCol w:w="1824"/>
        <w:gridCol w:w="1402"/>
        <w:gridCol w:w="1544"/>
        <w:gridCol w:w="1121"/>
        <w:gridCol w:w="1723"/>
      </w:tblGrid>
      <w:tr>
        <w:tblPrEx/>
        <w:trPr/>
        <w:tc>
          <w:tcPr>
            <w:shd w:val="clear" w:color="auto" w:fill="auto"/>
            <w:tcW w:w="19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26" w:type="pct"/>
            <w:vAlign w:val="center"/>
            <w:textDirection w:val="lrTb"/>
            <w:noWrap w:val="false"/>
          </w:tcPr>
          <w:p>
            <w:pPr>
              <w:ind w:left="168" w:right="7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имя, отчество сотрудника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76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Идентификацио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ный номер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в Национальном реестре специали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стов в области строительства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НОСТРОЙ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750" w:type="pct"/>
            <w:vAlign w:val="center"/>
            <w:textDirection w:val="lrTb"/>
            <w:noWrap w:val="false"/>
          </w:tcPr>
          <w:p>
            <w:pPr>
              <w:ind w:left="168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26" w:type="pct"/>
            <w:vAlign w:val="center"/>
            <w:textDirection w:val="lrTb"/>
            <w:noWrap w:val="false"/>
          </w:tcPr>
          <w:p>
            <w:pPr>
              <w:ind w:left="51" w:right="61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Образование, специальность (по диплому)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600" w:type="pct"/>
            <w:vAlign w:val="center"/>
            <w:textDirection w:val="lrTb"/>
            <w:noWrap w:val="false"/>
          </w:tcPr>
          <w:p>
            <w:pPr>
              <w:ind w:left="71" w:right="10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специальности,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92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аттестатов и удостоверений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подтверждающих квалификацию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199" w:type="pct"/>
            <w:vAlign w:val="center"/>
            <w:textDirection w:val="lrTb"/>
            <w:noWrap w:val="false"/>
          </w:tcPr>
          <w:p>
            <w:pPr>
              <w:ind w:left="-182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7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76" w:type="pct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cyan"/>
                <w:lang w:eastAsia="ru-RU"/>
              </w:rPr>
            </w:r>
          </w:p>
        </w:tc>
        <w:tc>
          <w:tcPr>
            <w:shd w:val="clear" w:color="auto" w:fill="ffffff"/>
            <w:tcW w:w="75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826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00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22" w:type="pct"/>
            <w:vAlign w:val="center"/>
            <w:textDirection w:val="lrTb"/>
            <w:noWrap w:val="false"/>
          </w:tcPr>
          <w:p>
            <w:pPr>
              <w:ind w:left="-284" w:right="-37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right="-3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cyan"/>
          <w:lang w:eastAsia="ru-RU"/>
        </w:rPr>
      </w:r>
    </w:p>
    <w:p>
      <w:pPr>
        <w:numPr>
          <w:ilvl w:val="0"/>
          <w:numId w:val="15"/>
        </w:numPr>
        <w:ind w:left="0" w:firstLine="0"/>
        <w:jc w:val="both"/>
        <w:spacing w:after="0" w:line="240" w:lineRule="auto"/>
        <w:widowControl w:val="off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5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ПЕРЕЧЕНЬ КОНТРАКТОВ И (ИЛИ) ДОГОВОРОВ, ПОДТВЕРЖДАЮЩИХ НАЛИЧИЕ У УЧАСТНИКА ПРЕДВАРИТЕЛЬНОГО ОТБОРА ОПЫТА ОКАЗАНИЯ УСЛУГ И (ИЛИ) ВЫПОЛНЕНИЯ РАБОТ, АНАЛОГИЧНЫХ ПРЕДМЕТУ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tbl>
      <w:tblPr>
        <w:tblStyle w:val="895"/>
        <w:tblW w:w="5000" w:type="pct"/>
        <w:tblLayout w:type="fixed"/>
        <w:tblLook w:val="04A0" w:firstRow="1" w:lastRow="0" w:firstColumn="1" w:lastColumn="0" w:noHBand="0" w:noVBand="1"/>
      </w:tblPr>
      <w:tblGrid>
        <w:gridCol w:w="423"/>
        <w:gridCol w:w="932"/>
        <w:gridCol w:w="1386"/>
        <w:gridCol w:w="1104"/>
        <w:gridCol w:w="1106"/>
        <w:gridCol w:w="1383"/>
        <w:gridCol w:w="1246"/>
        <w:gridCol w:w="1764"/>
      </w:tblGrid>
      <w:tr>
        <w:tblPrEx/>
        <w:trPr>
          <w:trHeight w:val="2622"/>
        </w:trPr>
        <w:tc>
          <w:tcPr>
            <w:tcW w:w="2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49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заключения и номер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Предмет контракта и (или) договора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(объект (объекты), в отношении которого (которых) оказаны услуги и (или) выполнены работы)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срок оказания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Первоначальная стоимость услуг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74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Наименование, дата и номер актов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выполненных работ по контракту и (или) договору или иных документов, подтверждающих приемку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Окончательная стоимость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работ (согласно актам приемки оказанных услуг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(или) 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ыполненных работ), рублей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Наличие подтверждения приемки заказчиком услуг и (или) работ по контракту и (или) договору, оказанных и (или) выполненных в полном объеме (наличие/отсутствие подписи заказчика о приемке)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2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59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rPr>
          <w:rFonts w:ascii="Times New Roman" w:hAnsi="Times New Roman" w:eastAsia="Calibri" w:cs="Times New Roman"/>
          <w:sz w:val="24"/>
          <w:szCs w:val="24"/>
          <w:highlight w:val="cyan"/>
        </w:rPr>
      </w:pPr>
      <w:r>
        <w:rPr>
          <w:rFonts w:ascii="Times New Roman" w:hAnsi="Times New Roman" w:eastAsia="Calibri" w:cs="Times New Roman"/>
          <w:i/>
          <w:sz w:val="24"/>
          <w:szCs w:val="24"/>
          <w:highlight w:val="cyan"/>
        </w:rPr>
        <w:br w:type="page" w:clear="all"/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  <w:r>
        <w:rPr>
          <w:rFonts w:ascii="Times New Roman" w:hAnsi="Times New Roman" w:eastAsia="Calibri" w:cs="Times New Roman"/>
          <w:sz w:val="24"/>
          <w:szCs w:val="24"/>
          <w:highlight w:val="cyan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529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ЗАПРОС О РАЗЪЯСНЕНИИ ДОКУМЕНТАЦИИ О ПРОВЕДЕНИИ ПРЕДВАРИТЕЛЬНОГО ОТБОРА</w:t>
      </w: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Руководствуясь пунктом 34 Положе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работ по капитальному ремонту общего имущества в многоквартирном доме, утвержденное Постановлением Правительства Российской Федерации от 1 июля 2016 года № 615, просим дать разъяснения следующих положений Документации о проведении предварительного отбора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№ </w:t>
      </w:r>
      <w:r>
        <w:rPr>
          <w:rFonts w:ascii="Times New Roman" w:hAnsi="Times New Roman" w:eastAsia="Calibri" w:cs="Times New Roman"/>
          <w:sz w:val="24"/>
          <w:szCs w:val="24"/>
        </w:rPr>
        <w:t xml:space="preserve">3-ПО(7</w:t>
      </w:r>
      <w:bookmarkStart w:id="1" w:name="_GoBack"/>
      <w:r/>
      <w:bookmarkEnd w:id="1"/>
      <w:r>
        <w:rPr>
          <w:rFonts w:ascii="Times New Roman" w:hAnsi="Times New Roman" w:eastAsia="Calibri" w:cs="Times New Roman"/>
          <w:sz w:val="24"/>
          <w:szCs w:val="24"/>
        </w:rPr>
        <w:t xml:space="preserve">).ЛО.20</w:t>
      </w:r>
      <w:r>
        <w:rPr>
          <w:rFonts w:ascii="Times New Roman" w:hAnsi="Times New Roman" w:eastAsia="Calibri" w:cs="Times New Roman"/>
          <w:sz w:val="24"/>
          <w:szCs w:val="24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_____________________________________________________________________________________________________2._________________________________________________________________________________________________________________________________________________________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Участник предварительного отбора                                                                Ф.И.О.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уполномоченный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представитель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М.П.</w:t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№ 7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before="260"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на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 обработку персональных данных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фамилия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, имя, отчество (при наличии))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соответствии с п. 4 ст. 9 Федерального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закона от 27.07.2006  № 152-ФЗ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«О персональных данных», зарегистрирован(а)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 удостоверяющий личность: 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наименование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документа, номер, сведения о дате выдачи документа и выдавшем его органе)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 целях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передачи документов 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_________________________,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указать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наименование организации)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располож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енному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по адресу: 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__________________________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(указать адрес организации)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содержащих мои персональные данные, в составе заявки на участие в предварительном отборе подрядных организаций для включения в реестр квалифицированных подрядных организаций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даю согласие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Министерству жилищно-коммунального хозяйства, энергетики, цифровизации и связи Забайкальского края, находящемуся по адресу: Забайкальский край, г. Чита, ул. Чкалова, д. 136, на обработ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ку моих персональных данных (фамилия, имя, отчество (при наличии), адрес регистрации, образование, профессия, а также иной информации, относящейся ко мне), то есть на совершение действий, предусмотренных п. 3 ст. 3 Федерального закона от 27 июля 2006 года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br/>
        <w:t xml:space="preserve">№ 152-ФЗ «О персональных данных».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"___"______________ 2024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Субъект персональных данных: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__________________/_________________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SimSun" w:cs="Times New Roman"/>
          <w:sz w:val="20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(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подпись)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            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  <w:t xml:space="preserve">  (Ф.И.О.)</w:t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  <w:r>
        <w:rPr>
          <w:rFonts w:ascii="Times New Roman" w:hAnsi="Times New Roman" w:eastAsia="SimSun" w:cs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812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9455555"/>
      <w:docPartObj>
        <w:docPartGallery w:val="Page Numbers (Top of Page)"/>
        <w:docPartUnique w:val="true"/>
      </w:docPartObj>
      <w:rPr/>
    </w:sdtPr>
    <w:sdtContent>
      <w:p>
        <w:pPr>
          <w:pStyle w:val="902"/>
          <w:jc w:val="center"/>
          <w:spacing w:after="12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2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6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2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24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05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56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06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56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7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7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152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16"/>
  </w:num>
  <w:num w:numId="5">
    <w:abstractNumId w:val="7"/>
  </w:num>
  <w:num w:numId="6">
    <w:abstractNumId w:val="4"/>
  </w:num>
  <w:num w:numId="7">
    <w:abstractNumId w:val="12"/>
  </w:num>
  <w:num w:numId="8">
    <w:abstractNumId w:val="20"/>
  </w:num>
  <w:num w:numId="9">
    <w:abstractNumId w:val="10"/>
  </w:num>
  <w:num w:numId="10">
    <w:abstractNumId w:val="14"/>
  </w:num>
  <w:num w:numId="11">
    <w:abstractNumId w:val="15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</w:num>
  <w:num w:numId="16">
    <w:abstractNumId w:val="3"/>
  </w:num>
  <w:num w:numId="17">
    <w:abstractNumId w:val="2"/>
  </w:num>
  <w:num w:numId="18">
    <w:abstractNumId w:val="0"/>
  </w:num>
  <w:num w:numId="19">
    <w:abstractNumId w:val="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1"/>
    <w:next w:val="891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basedOn w:val="892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1"/>
    <w:next w:val="891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basedOn w:val="892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1"/>
    <w:next w:val="891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basedOn w:val="892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1"/>
    <w:next w:val="891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basedOn w:val="892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1"/>
    <w:next w:val="891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basedOn w:val="892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1"/>
    <w:next w:val="891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basedOn w:val="89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1"/>
    <w:next w:val="891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basedOn w:val="892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1"/>
    <w:next w:val="891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basedOn w:val="892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1"/>
    <w:next w:val="891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basedOn w:val="892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No Spacing"/>
    <w:uiPriority w:val="1"/>
    <w:qFormat/>
    <w:pPr>
      <w:spacing w:before="0" w:after="0" w:line="240" w:lineRule="auto"/>
    </w:pPr>
  </w:style>
  <w:style w:type="paragraph" w:styleId="737">
    <w:name w:val="Title"/>
    <w:basedOn w:val="891"/>
    <w:next w:val="891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>
    <w:name w:val="Title Char"/>
    <w:basedOn w:val="892"/>
    <w:link w:val="737"/>
    <w:uiPriority w:val="10"/>
    <w:rPr>
      <w:sz w:val="48"/>
      <w:szCs w:val="48"/>
    </w:rPr>
  </w:style>
  <w:style w:type="paragraph" w:styleId="739">
    <w:name w:val="Subtitle"/>
    <w:basedOn w:val="891"/>
    <w:next w:val="891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>
    <w:name w:val="Subtitle Char"/>
    <w:basedOn w:val="892"/>
    <w:link w:val="739"/>
    <w:uiPriority w:val="11"/>
    <w:rPr>
      <w:sz w:val="24"/>
      <w:szCs w:val="24"/>
    </w:rPr>
  </w:style>
  <w:style w:type="paragraph" w:styleId="741">
    <w:name w:val="Quote"/>
    <w:basedOn w:val="891"/>
    <w:next w:val="891"/>
    <w:link w:val="742"/>
    <w:uiPriority w:val="29"/>
    <w:qFormat/>
    <w:pPr>
      <w:ind w:left="720" w:right="720"/>
    </w:pPr>
    <w:rPr>
      <w:i/>
    </w:rPr>
  </w:style>
  <w:style w:type="character" w:styleId="742">
    <w:name w:val="Quote Char"/>
    <w:link w:val="741"/>
    <w:uiPriority w:val="29"/>
    <w:rPr>
      <w:i/>
    </w:rPr>
  </w:style>
  <w:style w:type="paragraph" w:styleId="743">
    <w:name w:val="Intense Quote"/>
    <w:basedOn w:val="891"/>
    <w:next w:val="891"/>
    <w:link w:val="74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>
    <w:name w:val="Intense Quote Char"/>
    <w:link w:val="743"/>
    <w:uiPriority w:val="30"/>
    <w:rPr>
      <w:i/>
    </w:rPr>
  </w:style>
  <w:style w:type="character" w:styleId="745">
    <w:name w:val="Header Char"/>
    <w:basedOn w:val="892"/>
    <w:link w:val="902"/>
    <w:uiPriority w:val="99"/>
  </w:style>
  <w:style w:type="character" w:styleId="746">
    <w:name w:val="Footer Char"/>
    <w:basedOn w:val="892"/>
    <w:link w:val="904"/>
    <w:uiPriority w:val="99"/>
  </w:style>
  <w:style w:type="paragraph" w:styleId="747">
    <w:name w:val="Caption"/>
    <w:basedOn w:val="891"/>
    <w:next w:val="8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>
    <w:name w:val="Caption Char"/>
    <w:basedOn w:val="747"/>
    <w:link w:val="904"/>
    <w:uiPriority w:val="99"/>
  </w:style>
  <w:style w:type="table" w:styleId="749">
    <w:name w:val="Table Grid Light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8">
    <w:name w:val="List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9">
    <w:name w:val="List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0">
    <w:name w:val="List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1">
    <w:name w:val="List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2">
    <w:name w:val="List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3">
    <w:name w:val="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5">
    <w:name w:val="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9">
    <w:name w:val="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 &amp; 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2">
    <w:name w:val="Bordered &amp; 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3">
    <w:name w:val="Bordered &amp; 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4">
    <w:name w:val="Bordered &amp; 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5">
    <w:name w:val="Bordered &amp; 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6">
    <w:name w:val="Bordered &amp; 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7">
    <w:name w:val="Bordered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4">
    <w:name w:val="footnote text"/>
    <w:basedOn w:val="89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basedOn w:val="892"/>
    <w:uiPriority w:val="99"/>
    <w:unhideWhenUsed/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basedOn w:val="892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qFormat/>
  </w:style>
  <w:style w:type="character" w:styleId="892" w:default="1">
    <w:name w:val="Default Paragraph Font"/>
    <w:uiPriority w:val="1"/>
    <w:semiHidden/>
    <w:unhideWhenUsed/>
  </w:style>
  <w:style w:type="table" w:styleId="8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4" w:default="1">
    <w:name w:val="No List"/>
    <w:uiPriority w:val="99"/>
    <w:semiHidden/>
    <w:unhideWhenUsed/>
  </w:style>
  <w:style w:type="table" w:styleId="895">
    <w:name w:val="Table Grid"/>
    <w:basedOn w:val="89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6" w:customStyle="1">
    <w:name w:val="Сетка таблицы6"/>
    <w:basedOn w:val="893"/>
    <w:next w:val="895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7" w:customStyle="1">
    <w:name w:val="Сетка таблицы1"/>
    <w:basedOn w:val="893"/>
    <w:next w:val="89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98">
    <w:name w:val="Hyperlink"/>
    <w:basedOn w:val="892"/>
    <w:uiPriority w:val="99"/>
    <w:unhideWhenUsed/>
    <w:rPr>
      <w:color w:val="0563c1" w:themeColor="hyperlink"/>
      <w:u w:val="single"/>
    </w:rPr>
  </w:style>
  <w:style w:type="paragraph" w:styleId="899" w:customStyle="1">
    <w:name w:val="ConsPlusNormal"/>
    <w:link w:val="912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0">
    <w:name w:val="List Paragraph"/>
    <w:basedOn w:val="891"/>
    <w:uiPriority w:val="34"/>
    <w:qFormat/>
    <w:pPr>
      <w:contextualSpacing/>
      <w:ind w:left="720"/>
    </w:pPr>
  </w:style>
  <w:style w:type="character" w:styleId="901">
    <w:name w:val="FollowedHyperlink"/>
    <w:basedOn w:val="892"/>
    <w:uiPriority w:val="99"/>
    <w:semiHidden/>
    <w:unhideWhenUsed/>
    <w:rPr>
      <w:color w:val="800080"/>
      <w:u w:val="single"/>
    </w:rPr>
  </w:style>
  <w:style w:type="paragraph" w:styleId="902">
    <w:name w:val="Header"/>
    <w:basedOn w:val="891"/>
    <w:link w:val="9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3" w:customStyle="1">
    <w:name w:val="Верхний колонтитул Знак"/>
    <w:basedOn w:val="892"/>
    <w:link w:val="902"/>
    <w:uiPriority w:val="99"/>
  </w:style>
  <w:style w:type="paragraph" w:styleId="904">
    <w:name w:val="Footer"/>
    <w:basedOn w:val="891"/>
    <w:link w:val="90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5" w:customStyle="1">
    <w:name w:val="Нижний колонтитул Знак"/>
    <w:basedOn w:val="892"/>
    <w:link w:val="904"/>
    <w:uiPriority w:val="99"/>
    <w:semiHidden/>
  </w:style>
  <w:style w:type="character" w:styleId="906" w:customStyle="1">
    <w:name w:val="Основной текст_"/>
    <w:basedOn w:val="892"/>
    <w:link w:val="907"/>
    <w:rPr>
      <w:rFonts w:ascii="Times New Roman" w:hAnsi="Times New Roman" w:eastAsia="Times New Roman" w:cs="Times New Roman"/>
      <w:shd w:val="clear" w:color="auto" w:fill="ffffff"/>
    </w:rPr>
  </w:style>
  <w:style w:type="paragraph" w:styleId="907" w:customStyle="1">
    <w:name w:val="Основной текст13"/>
    <w:basedOn w:val="891"/>
    <w:link w:val="906"/>
    <w:pPr>
      <w:ind w:hanging="620"/>
      <w:spacing w:before="780" w:after="6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08" w:customStyle="1">
    <w:name w:val="xl65"/>
    <w:basedOn w:val="891"/>
    <w:pPr>
      <w:spacing w:before="100" w:beforeAutospacing="1" w:after="100" w:afterAutospacing="1" w:line="240" w:lineRule="auto"/>
      <w:pBdr>
        <w:top w:val="single" w:color="D0D7E5" w:sz="4" w:space="0"/>
        <w:left w:val="single" w:color="D0D7E5" w:sz="4" w:space="0"/>
        <w:bottom w:val="single" w:color="D0D7E5" w:sz="4" w:space="0"/>
        <w:right w:val="single" w:color="D0D7E5" w:sz="4" w:space="0"/>
      </w:pBdr>
    </w:pPr>
    <w:rPr>
      <w:rFonts w:ascii="Calibri" w:hAnsi="Calibri" w:eastAsia="Times New Roman" w:cs="Times New Roman"/>
      <w:color w:val="000000"/>
      <w:lang w:eastAsia="ru-RU"/>
    </w:rPr>
  </w:style>
  <w:style w:type="character" w:styleId="909" w:customStyle="1">
    <w:name w:val="Основной текст (2)_"/>
    <w:basedOn w:val="892"/>
    <w:link w:val="910"/>
    <w:rPr>
      <w:rFonts w:ascii="Times New Roman" w:hAnsi="Times New Roman" w:eastAsia="Times New Roman" w:cs="Times New Roman"/>
      <w:shd w:val="clear" w:color="auto" w:fill="ffffff"/>
    </w:rPr>
  </w:style>
  <w:style w:type="paragraph" w:styleId="910" w:customStyle="1">
    <w:name w:val="Основной текст (2)"/>
    <w:basedOn w:val="891"/>
    <w:link w:val="909"/>
    <w:pPr>
      <w:spacing w:after="1140"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11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912" w:customStyle="1">
    <w:name w:val="ConsPlusNormal Знак"/>
    <w:link w:val="899"/>
    <w:rPr>
      <w:rFonts w:ascii="Calibri" w:hAnsi="Calibri" w:eastAsia="Times New Roman" w:cs="Calibri"/>
      <w:szCs w:val="20"/>
      <w:lang w:eastAsia="ru-RU"/>
    </w:rPr>
  </w:style>
  <w:style w:type="paragraph" w:styleId="913">
    <w:name w:val="Balloon Text"/>
    <w:basedOn w:val="891"/>
    <w:link w:val="91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4" w:customStyle="1">
    <w:name w:val="Текст выноски Знак"/>
    <w:basedOn w:val="892"/>
    <w:link w:val="91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pochta@minenergo.e-za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1C32-31F0-452C-9C18-6C489FC9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pc004</dc:creator>
  <cp:revision>53</cp:revision>
  <dcterms:created xsi:type="dcterms:W3CDTF">2022-06-10T02:29:00Z</dcterms:created>
  <dcterms:modified xsi:type="dcterms:W3CDTF">2024-12-10T01:35:33Z</dcterms:modified>
</cp:coreProperties>
</file>