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риказом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Министерства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жилищно-коммунального хозяйства, энергетики, цифровизации и связи 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Забайкальского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края</w:t>
      </w:r>
      <w:r>
        <w:rPr>
          <w:rFonts w:ascii="Times New Roman" w:hAnsi="Times New Roman" w:cs="Times New Roman"/>
          <w:color w:val="00000a"/>
          <w:sz w:val="24"/>
          <w:szCs w:val="24"/>
        </w:rPr>
      </w:r>
      <w:r>
        <w:rPr>
          <w:rFonts w:ascii="Times New Roman" w:hAnsi="Times New Roman" w:cs="Times New Roman"/>
          <w:color w:val="00000a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«</w:t>
      </w:r>
      <w:r>
        <w:rPr>
          <w:rFonts w:ascii="Times New Roman" w:hAnsi="Times New Roman" w:cs="Times New Roman"/>
          <w:sz w:val="24"/>
          <w:szCs w:val="24"/>
        </w:rPr>
        <w:t xml:space="preserve">23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января</w:t>
      </w:r>
      <w:r>
        <w:rPr>
          <w:rFonts w:ascii="Times New Roman" w:hAnsi="Times New Roman" w:cs="Times New Roman"/>
          <w:sz w:val="24"/>
          <w:szCs w:val="24"/>
        </w:rPr>
        <w:t xml:space="preserve"> 2025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9 о.д.</w:t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</w:r>
      <w:r>
        <w:rPr>
          <w:rFonts w:ascii="Times New Roman" w:hAnsi="Times New Roman" w:cs="Times New Roman"/>
          <w:color w:val="00000a"/>
          <w:sz w:val="24"/>
          <w:szCs w:val="24"/>
        </w:rPr>
      </w:r>
      <w:r>
        <w:rPr>
          <w:rFonts w:ascii="Times New Roman" w:hAnsi="Times New Roman" w:cs="Times New Roman"/>
          <w:color w:val="00000a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ДОКУМЕНТАЦИЯ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ПОДРЯДНЫХ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ОРГАНИЗАЦИЙ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5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-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1)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ТСПК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.20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5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для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оказание услуг и (или) выполнение 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замену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модернизаци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лифтов, ремонт лифтовых шахт, машинных и блочных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г. Чита, 20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5</w:t>
      </w:r>
      <w:r>
        <w:rPr>
          <w:rFonts w:ascii="Times New Roman" w:hAnsi="Times New Roman" w:eastAsia="Calibri" w:cs="Times New Roman"/>
          <w:b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Общие положения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Настоящая д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окументация о проведении предварительного отбора подрядных организаций утверждена в целях проведения предварительного отбора подрядных организаций для включения в реестр квалифицированных подрядных организаций, имеющих право принимать участие в электронных</w:t>
      </w:r>
      <w:r>
        <w:rPr>
          <w:rFonts w:ascii="Times New Roman" w:hAnsi="Times New Roman" w:eastAsia="Calibri" w:cs="Times New Roman"/>
          <w:sz w:val="24"/>
          <w:szCs w:val="24"/>
        </w:rPr>
        <w:t xml:space="preserve"> аукционах, предметом которых </w:t>
      </w:r>
      <w:r>
        <w:rPr>
          <w:rFonts w:ascii="Times New Roman" w:hAnsi="Times New Roman" w:eastAsia="Calibri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</w:t>
      </w:r>
      <w:r>
        <w:rPr>
          <w:rFonts w:ascii="Times New Roman" w:hAnsi="Times New Roman" w:cs="Times New Roman"/>
          <w:bCs/>
          <w:sz w:val="24"/>
          <w:szCs w:val="24"/>
        </w:rPr>
        <w:t xml:space="preserve">казание услуг и (или) вып</w:t>
      </w:r>
      <w:r>
        <w:rPr>
          <w:rFonts w:ascii="Times New Roman" w:hAnsi="Times New Roman" w:cs="Times New Roman"/>
          <w:bCs/>
          <w:sz w:val="24"/>
          <w:szCs w:val="24"/>
        </w:rPr>
        <w:t xml:space="preserve">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ремонт</w:t>
      </w:r>
      <w:r>
        <w:rPr>
          <w:rFonts w:ascii="Times New Roman" w:hAnsi="Times New Roman" w:cs="Times New Roman"/>
          <w:bCs/>
          <w:sz w:val="24"/>
          <w:szCs w:val="24"/>
        </w:rPr>
        <w:t xml:space="preserve">, замену, модернизаци</w:t>
      </w:r>
      <w:r>
        <w:rPr>
          <w:rFonts w:ascii="Times New Roman" w:hAnsi="Times New Roman" w:cs="Times New Roman"/>
          <w:bCs/>
          <w:sz w:val="24"/>
          <w:szCs w:val="24"/>
        </w:rPr>
        <w:t xml:space="preserve">ю</w:t>
      </w:r>
      <w:r>
        <w:rPr>
          <w:rFonts w:ascii="Times New Roman" w:hAnsi="Times New Roman" w:cs="Times New Roman"/>
          <w:bCs/>
          <w:sz w:val="24"/>
          <w:szCs w:val="24"/>
        </w:rPr>
        <w:t xml:space="preserve"> лифтов, ремонт лифтовых шахт, машинных и блочных помещений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(далее – Документация о проведении предварительного отбора, предварительный отбор</w:t>
      </w:r>
      <w:r>
        <w:rPr>
          <w:rFonts w:ascii="Times New Roman" w:hAnsi="Times New Roman" w:eastAsia="Calibri" w:cs="Times New Roman"/>
          <w:sz w:val="24"/>
          <w:szCs w:val="24"/>
        </w:rPr>
        <w:t xml:space="preserve">, электронный аукцион</w:t>
      </w:r>
      <w:r>
        <w:rPr>
          <w:rFonts w:ascii="Times New Roman" w:hAnsi="Times New Roman" w:eastAsia="Calibri" w:cs="Times New Roman"/>
          <w:sz w:val="24"/>
          <w:szCs w:val="24"/>
        </w:rPr>
        <w:t xml:space="preserve">).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Исполнительным органом государственной власти Забайкальского края,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уполномоченным на ведение реестра квалифицированных подрядных организаций (далее –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РКПО,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орган по ведению РКПО) является Министерство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Забайкальского края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Style w:val="899"/>
        <w:tblW w:w="4888" w:type="pct"/>
        <w:tblInd w:w="108" w:type="dxa"/>
        <w:shd w:val="clear" w:color="auto" w:fill="ffffff"/>
        <w:tblLook w:val="04A0" w:firstRow="1" w:lastRow="0" w:firstColumn="1" w:lastColumn="0" w:noHBand="0" w:noVBand="1"/>
      </w:tblPr>
      <w:tblGrid>
        <w:gridCol w:w="604"/>
        <w:gridCol w:w="4270"/>
        <w:gridCol w:w="4482"/>
      </w:tblGrid>
      <w:tr>
        <w:tblPrEx/>
        <w:trPr>
          <w:trHeight w:val="611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Информация о проведении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89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Предмет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95" w:type="pct"/>
            <w:vAlign w:val="center"/>
            <w:textDirection w:val="lrTb"/>
            <w:noWrap w:val="false"/>
          </w:tcPr>
          <w:p>
            <w:pPr>
              <w:pStyle w:val="903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ание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наследия, в том числе на ремонт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замену, модернизаци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лифтов, ремонт лифтовых шахт, машинных и блочных помещений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89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ТСП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89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уполномоченном органе на ведение РКПО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509"/>
        </w:trPr>
        <w:tc>
          <w:tcPr>
            <w:shd w:val="clear" w:color="auto" w:fill="ffffff"/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жилищно-коммунального хозяйства, энергетики, цифровизации и связи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Забайкальского края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79"/>
        </w:trPr>
        <w:tc>
          <w:tcPr>
            <w:shd w:val="clear" w:color="auto" w:fill="ffffff"/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7536176880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79"/>
        </w:trPr>
        <w:tc>
          <w:tcPr>
            <w:shd w:val="clear" w:color="auto" w:fill="ffffff"/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Место нахождения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672002, 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электронной почты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hyperlink r:id="rId11" w:tooltip="mailto:pochta@minenergo.e-zab.ru" w:history="1">
              <w:r>
                <w:rPr>
                  <w:rStyle w:val="90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pochta</w:t>
              </w:r>
              <w:r>
                <w:rPr>
                  <w:rStyle w:val="902"/>
                  <w:rFonts w:ascii="Times New Roman" w:hAnsi="Times New Roman" w:eastAsia="Calibri" w:cs="Times New Roman"/>
                  <w:sz w:val="24"/>
                  <w:szCs w:val="24"/>
                </w:rPr>
                <w:t xml:space="preserve">@</w:t>
              </w:r>
              <w:r>
                <w:rPr>
                  <w:rStyle w:val="90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minenergo</w:t>
              </w:r>
              <w:r>
                <w:rPr>
                  <w:rStyle w:val="902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90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e</w:t>
              </w:r>
              <w:r>
                <w:rPr>
                  <w:rStyle w:val="902"/>
                  <w:rFonts w:ascii="Times New Roman" w:hAnsi="Times New Roman" w:eastAsia="Calibri" w:cs="Times New Roman"/>
                  <w:sz w:val="24"/>
                  <w:szCs w:val="24"/>
                </w:rPr>
                <w:t xml:space="preserve">-</w:t>
              </w:r>
              <w:r>
                <w:rPr>
                  <w:rStyle w:val="90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zab</w:t>
              </w:r>
              <w:r>
                <w:rPr>
                  <w:rStyle w:val="902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90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282"/>
        </w:trPr>
        <w:tc>
          <w:tcPr>
            <w:shd w:val="clear" w:color="auto" w:fill="ffffff"/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телефона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02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21-30-48, доб.5591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shd w:val="clear" w:color="auto" w:fill="ffffff"/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Ф.И.О. контактного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Ружникова Елена Александровна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793"/>
        </w:trPr>
        <w:tc>
          <w:tcPr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http://zakupki.gov.ru/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сайта оператора электронной площадки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http://www.rts-tender.ru/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textDirection w:val="lrTb"/>
            <w:noWrap w:val="false"/>
          </w:tcPr>
          <w:p>
            <w:pPr>
              <w:jc w:val="both"/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Период действия результатов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года с даты внесения записи об участнике предварительного отбора в РКПО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textDirection w:val="lrTb"/>
            <w:noWrap w:val="false"/>
          </w:tcPr>
          <w:p>
            <w:pPr>
              <w:jc w:val="both"/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начала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24 января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 часов 00 минут (время местное)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62"/>
        </w:trPr>
        <w:tc>
          <w:tcPr>
            <w:tcW w:w="323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 февраля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часов 00 минут (время местное)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окончания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срока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рассмотрения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26 февраля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left="284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284" w:firstLine="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к оказанию услуг и (или) выполнению работ по капитальному ремонту общего имущества в многоквартирном доме (их техническим, функциональным, качественным и иным характеристикам)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76"/>
        <w:gridCol w:w="2826"/>
        <w:gridCol w:w="5954"/>
      </w:tblGrid>
      <w:tr>
        <w:tblPrEx/>
        <w:trPr>
          <w:trHeight w:val="458"/>
          <w:tblHeader/>
        </w:trPr>
        <w:tc>
          <w:tcPr>
            <w:shd w:val="clear" w:color="auto" w:fill="auto"/>
            <w:tcW w:w="30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1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8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1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55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1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Требования к оказанию услуг и (или) выполнению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81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Общие требования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оказанию услуг и (или) выполнению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ремонт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замену, модернизаци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лифтов, ремонт лифтовых шахт, машинных и блочных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оказание услуг и (или) выполнение работ)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устанавливаются Заказчиком в документации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 электронном аукционе, в задании на разработку проектной документации.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Услуги и (или) работы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должны удовлетворять требованиям строительных, экологических, санитарно-гигиенических, противопожарных и других норм, действующих на территории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Российской Федерации.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Проектно-сметная документация разрабатывается в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объеме, необходимом для проведения капитального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ремонта общего имущества многоквартирного дома, 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соответствии с нормами действующего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законодательства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Российской Федерации: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Градостроительный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Жилищный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от 30.12.2009 г. № 384-Ф3 «Технический регламент о безопасности зданий и сооружений»;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РФ от 22.07.2008 г. № 123-ФЗ «Технический регламент о требованиях пожарной безопасности»;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25.06.2002 г. № 73-ФЗ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объектах культурного наследия (памятниках истории и культуры) народов Российской Федерации»;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Российской Федерации от 04.05.2011 г. № 99-ФЗ «О лицензировании отдельных видов деятельности»;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Российской Федерации от 19 апреля 2012 года № 349 «О лицензировании деятельности по сохранению объектов культурного наследия (памятников истории и культуры) народов Российской Федерации»;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ГОСТ Р 55528-2013 «Состав и содержание научно-проектной документации по сохранению объектов культурного наследия. Памятники истории и культуры. Общие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требования»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ГОСТ Р 55567-2013 «Порядок организации и ведения инженерно-технических исследований на объектах культурного наследия. Памятники истории и 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ГОСТ 21.501-2011 «Правила выполнения рабочей документации архитектурных и конструктивных решений»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54.13330.2011 «Здания жилые многоквартирные. Актуализированная редакция СНиП 31-01-2003»;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15.13330.2012 «Каменные и армокаменные конструкции. Актуализированная редакция СНиП II-22-81*»;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63.13330.2012 «Бетонные и железобетонные конструкции. Основные положения. Актуализированная редакция СНиП 52-01-2003 (с Изменениями № 1,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64.13330.2011 «Деревянные конструкции. Актуализированная редакция СНиП II-25-80»;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70.13330.2012 «Несущие и ограждающие конструкции. Актуализированная редакция СНиП 3.03.01-87»;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16.13330.2011 «Стальные конструкции.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Актуализированная редакция СНиП II-23-81*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17.13330.2011 «Кровли. Актуализированная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редакция СНиП II-26-76»;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20.13330.2011 «Нагрузки и воздействия. Актуализированная редакция СНиП 2.01.07-85*»;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22.13330.2011 «Основания зданий и сооружений. Актуализированная редакция СНиП 2.02.01-83*»;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24.13330.2011 «Свайные фундаменты. Актуализированная редакция СНиП 2.02.03-85»;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28.13330.2012 «Защита строительных конструкций от коррозии. Актуализированная редакция СНиП 2.03.11-85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30.13330.2012 «Внутренний водопровод и канализация зданий. Актуализированная редакция СНиП 2.04.01-85*»;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50.13330.2012 «Тепловая защита зданий. Актуализированная редакция СНиП 23-02-2003»;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60.13330.2012 «Отопление, вентиляция и кондиционирование воздуха. Актуализированная редакция СНиП 41-01-2003»;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62.13330.2011* «Газораспределительные системы. Актуализированная редакция СНиП 42-01-2002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76.13330.201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««Электротехнические устройства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Актуализированная редакция СНиП 3.05.06-85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131.13330.2012 «Строительная климатология. Актуализированная редакция СНиП 23-01-99* (с Изменением № 2»;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31-110-2003 «Проектирование и монтаж электроустановок жилых и общественных зданий»;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ГОСТ 31565-2012 «Кабельные изделия. Требования пожарной безопасности»;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31937-2011 «Здания и сооружения. Правила обследования и мониторинга технического состояния»;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13-102-2003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обследования несущих строительных конструкций зданий и сооружений»;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21.1101-2013 «Система проектной документации для строительства. Основные требования к проектной и рабочей документации»;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ВСН 41-85(р) «Инструкция по разработке проектов организации и проектов производства работ по капитальному ремонту жилых зданий»;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55969-2014 «Лифты. Ввод в эксплуатацию. Общие требования»;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Таможенного союза ТР ТС 011/2011 «Безопасность лифтов»;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53782-2010 «Лифты. Правила и методы оценки соответствия лифтов при вводе в эксплуатацию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33652-2015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81-70:2003) «Лифты пассажирские. Технические требования доступности, включая доступность для инвалидов и других маломобильных групп населения».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Данный перечень нормативных правовых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 уточняется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  <w:tr>
        <w:tblPrEx/>
        <w:trPr>
          <w:trHeight w:val="447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1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Общие требования к составу проектно-сметной документации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  <w:tc>
          <w:tcPr>
            <w:shd w:val="clear" w:color="auto" w:fill="auto"/>
            <w:tcW w:w="3181" w:type="pct"/>
            <w:vAlign w:val="center"/>
            <w:textDirection w:val="lrTb"/>
            <w:noWrap w:val="false"/>
          </w:tcPr>
          <w:p>
            <w:pPr>
              <w:pStyle w:val="895"/>
              <w:jc w:val="both"/>
              <w:spacing w:before="0" w:beforeAutospacing="0" w:after="0" w:afterAutospacing="0"/>
              <w:shd w:val="clear" w:color="auto" w:fill="ffffff"/>
              <w:rPr>
                <w:b w:val="0"/>
                <w:sz w:val="24"/>
                <w:szCs w:val="24"/>
              </w:rPr>
            </w:pP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Проектно-сметная документация оформляется в соответствии с ГОСТ Р 21.1101-2013 «Система проектной документации для строительства (СПДС). Основные требования к проектной и рабочей документации (с Поправкой)</w:t>
            </w:r>
            <w:r>
              <w:rPr>
                <w:b w:val="0"/>
                <w:sz w:val="24"/>
                <w:szCs w:val="24"/>
              </w:rPr>
              <w:t xml:space="preserve">», а также иными действующими нормативными правовыми актами Российской Федерации.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895"/>
              <w:jc w:val="both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Разделы и подразделы выполняются в соответствии с</w:t>
            </w:r>
            <w:r>
              <w:rPr>
                <w:b w:val="0"/>
                <w:sz w:val="24"/>
                <w:szCs w:val="24"/>
              </w:rPr>
              <w:t xml:space="preserve"> постановлением Правительства </w:t>
            </w:r>
            <w:r>
              <w:rPr>
                <w:b w:val="0"/>
                <w:bCs w:val="0"/>
                <w:sz w:val="24"/>
                <w:szCs w:val="24"/>
              </w:rPr>
              <w:t xml:space="preserve">Российской Федерации</w:t>
            </w:r>
            <w:r>
              <w:rPr>
                <w:b w:val="0"/>
                <w:sz w:val="24"/>
                <w:szCs w:val="24"/>
              </w:rPr>
              <w:t xml:space="preserve"> от 16</w:t>
            </w:r>
            <w:r>
              <w:rPr>
                <w:b w:val="0"/>
                <w:bCs w:val="0"/>
                <w:sz w:val="24"/>
                <w:szCs w:val="24"/>
              </w:rPr>
              <w:t xml:space="preserve"> февраля </w:t>
            </w:r>
            <w:r>
              <w:rPr>
                <w:b w:val="0"/>
                <w:sz w:val="24"/>
                <w:szCs w:val="24"/>
              </w:rPr>
              <w:t xml:space="preserve">2008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г</w:t>
            </w:r>
            <w:r>
              <w:rPr>
                <w:b w:val="0"/>
                <w:bCs w:val="0"/>
                <w:sz w:val="24"/>
                <w:szCs w:val="24"/>
              </w:rPr>
              <w:t xml:space="preserve">ода </w:t>
            </w:r>
            <w:r>
              <w:rPr>
                <w:b w:val="0"/>
                <w:sz w:val="24"/>
                <w:szCs w:val="24"/>
              </w:rPr>
              <w:t xml:space="preserve">№ 87 «О составе разделов проектной документации</w:t>
            </w:r>
            <w:r>
              <w:rPr>
                <w:b w:val="0"/>
                <w:bCs w:val="0"/>
                <w:sz w:val="24"/>
                <w:szCs w:val="24"/>
              </w:rPr>
              <w:t xml:space="preserve"> и требованиях к их содержанию» в объеме, необходимом для выполнения работ по капитальному ремонту общего имущества многоквартирных домов.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1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Общие требования к содержанию проектно-сметной документации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81" w:type="pct"/>
            <w:vAlign w:val="center"/>
            <w:textDirection w:val="lrTb"/>
            <w:noWrap w:val="false"/>
          </w:tcPr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Локальный сметный расчет составляется в соответствии с требованиями следующих нормативных документов (включая, но не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ограничиваясь):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numPr>
                <w:ilvl w:val="0"/>
                <w:numId w:val="21"/>
              </w:numPr>
              <w:ind w:left="0" w:firstLine="182"/>
              <w:jc w:val="both"/>
              <w:spacing w:after="0" w:line="240" w:lineRule="auto"/>
              <w:tabs>
                <w:tab w:val="left" w:pos="458" w:leader="none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МДС 81-35.2004 «Методика определения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стоимости строительной продукции на территории Российской Федерации»;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numPr>
                <w:ilvl w:val="0"/>
                <w:numId w:val="21"/>
              </w:numPr>
              <w:ind w:left="0" w:firstLine="182"/>
              <w:jc w:val="both"/>
              <w:spacing w:after="0" w:line="240" w:lineRule="auto"/>
              <w:tabs>
                <w:tab w:val="left" w:pos="458" w:leader="none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применению федеральных единичных расценок на строительные, специальные строительные, ремонтно-строительные, монтаж оборудования и пусконаладочные работы, утвержденные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приказом Минстроя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от 09 февраля 2017 года № 81/пр;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Сметная документация составляется базисно-индексным методом с применением сборников ТЕР-2001 Забайкальского края (ред. 2014 г.).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случае отсутствия необходимых расценок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рекомендуется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исключительных случаях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согласованию с Заказчиком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для перевода расценок из ФЕР-2001 (в редакции 2017 года)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ТЕР-2001 Забайкальского края (в редакции 2014 года) применять к элементам прямых затрат следующие поправочные коэффициенты: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материалам – 1,2;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стоимости эксплуатации машин – 1,11;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оплате труда – 0,9.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случае отсутствия стоимости материалов в территориальных (федеральных) сборниках сметных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 рекомендуется применять текущие стоимости материалов на основании мониторинга (каталога «ЧитаСтройИнформ») или прайс-листов с переводом обратным счетом в соответствующий базисный уровень цен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индексами, применяемыми в смете на текущий период времени.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895"/>
              <w:jc w:val="both"/>
              <w:spacing w:before="0" w:beforeAutospacing="0" w:after="0" w:afterAutospacing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Накладные расходы и сметную прибыль учитываются по нормам на виды работ в процентах от фонда оплаты труда в соответствии с МДС-81-33.2004 «Методические указания по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определению величины накладных расходов в строительстве» и МДС 81-25.2001 «Методические указания по определению </w:t>
            </w:r>
            <w:r>
              <w:rPr>
                <w:b w:val="0"/>
                <w:bCs w:val="0"/>
                <w:sz w:val="24"/>
                <w:szCs w:val="24"/>
              </w:rPr>
              <w:t xml:space="preserve">по определению величины сметной прибыли в строительстве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» с учетом писем Росстроя от 31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.01.2005 № ЮТ-260/06 «О порядке применения нормативов накладных расходов в строительстве», от 18.11.2004 № АП-5536/06, письма Госстроя РФ от 27.11.2012 № 2536-ИП/12/ГС, писем Минрегионразвития РФ от 21.02.2011 № 3757-КК/08, от 17.03.2011 № 6056-ИП/08 и др.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</w:r>
          </w:p>
          <w:p>
            <w:pPr>
              <w:pStyle w:val="895"/>
              <w:jc w:val="both"/>
              <w:spacing w:before="0" w:beforeAutospacing="0" w:after="0" w:afterAutospacing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В состав сводного сметного расчета включаются прочие необходимые затраты в соответствии с МДС 81-35.2004 </w:t>
            </w:r>
            <w:r>
              <w:rPr>
                <w:b w:val="0"/>
                <w:sz w:val="24"/>
                <w:szCs w:val="24"/>
              </w:rPr>
              <w:t xml:space="preserve">«Методика определения стоимости строительной продукции на территории Российской Федерации».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расчете затрат на проведение строительного контроля следует руководствоваться постановлением Правительства Российской Федерации от 21.06.2010 № 468.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Резерв средств на неп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редвиденные работы и затраты предусматривается в сводном сметном расчете по нормам п. 4.96 МДС 81-35.2004 «Методика определения стоимости строительной продукции на территории Российской Федерации» (в редакции приказа Минрегиона России от 01.06.2012 № 220).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НДС учитывается в сметах и начисляется в актах за выполненные работы по итогу всей сметной стоимости.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Сметная стоимость работ по капитальному ремонту не должна превышать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ным оператором за счет средств фонда капитального ремонта, сформированного исходя из минимального размера взноса на капитальный ремонт (предельная стоимость услуг и (или) работ по капитальному ремонту общего имущества в многоквартирном доме, расположенном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территории Забайкальского края, установлена в соответствии с частью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 статьи 190 Жилищного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нормативным правовым актом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Забайкальского края).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1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Требование к календарному плану оказания услуг и (или) выполнения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81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Оказание услуг и (или) выполнение работ должно осуществляться в соответствии с прилагаемым к договору о проведении капитального ремонта графиком оказания услуг и (или) выполнения работ.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Сведения о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существенных условиях договора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 проведении капитального ремонта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которые будут в дальнейшем установлены в документации об электронном аукционе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852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0"/>
          <w:szCs w:val="24"/>
        </w:rPr>
      </w:pPr>
      <w:r>
        <w:rPr>
          <w:rFonts w:ascii="Times New Roman" w:hAnsi="Times New Roman" w:eastAsia="Calibri" w:cs="Times New Roman"/>
          <w:sz w:val="20"/>
          <w:szCs w:val="24"/>
        </w:rPr>
      </w:r>
      <w:r>
        <w:rPr>
          <w:rFonts w:ascii="Times New Roman" w:hAnsi="Times New Roman" w:eastAsia="Calibri" w:cs="Times New Roman"/>
          <w:sz w:val="20"/>
          <w:szCs w:val="24"/>
        </w:rPr>
      </w:r>
      <w:r>
        <w:rPr>
          <w:rFonts w:ascii="Times New Roman" w:hAnsi="Times New Roman" w:eastAsia="Calibri" w:cs="Times New Roman"/>
          <w:sz w:val="20"/>
          <w:szCs w:val="24"/>
        </w:rPr>
      </w:r>
    </w:p>
    <w:tbl>
      <w:tblPr>
        <w:tblStyle w:val="900"/>
        <w:tblW w:w="4888" w:type="pct"/>
        <w:tblInd w:w="108" w:type="dxa"/>
        <w:tblLook w:val="04A0" w:firstRow="1" w:lastRow="0" w:firstColumn="1" w:lastColumn="0" w:noHBand="0" w:noVBand="1"/>
      </w:tblPr>
      <w:tblGrid>
        <w:gridCol w:w="560"/>
        <w:gridCol w:w="2157"/>
        <w:gridCol w:w="6639"/>
      </w:tblGrid>
      <w:tr>
        <w:tblPrEx/>
        <w:trPr>
          <w:tblHeader/>
        </w:trPr>
        <w:tc>
          <w:tcPr>
            <w:shd w:val="clear" w:color="auto" w:fill="auto"/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Условие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354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условия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tblHeader/>
        </w:trPr>
        <w:tc>
          <w:tcPr>
            <w:shd w:val="clear" w:color="auto" w:fill="auto"/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54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Забайкальский фонд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многоквартирных домов, органы местного самоуправления и (или) государственные, муниципальные бюджетные, казенные учреждения в случаях, предусмотренных частью 4 статьи 182 Жилищного кодекса Российской Федерации, осуществляющие функции технического заказчика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будет размещен в составе документации об электронном аукционе на оказание услуг и (или) выполнение работ по капитальному ремонту общего имущества многоквартирных домов.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Предметом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является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выполнение работ 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оценке технического состояния, разработке проектной документации на проведение капитального ремонта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многоквартирных домов,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являющихся объектами культурного наследия, выявленными объектами культурного наследия,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расположенных на территории Забайкальского края,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замену, модернизаци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лифтов, ремонт лифтовых шахт, машинных и блочных помещений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услуг и (или) выполнение работ будет осуществляться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отношении объектов, указанных в ориентировочном адресном перечне, содержащемся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/>
              <w:t xml:space="preserve">в разделе IV Документации о проведении предварительного отбора и размещенном на официальном сайте Министерства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жилищно-коммунального хозяйства, энергетики, цифровизации и связи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Забайкальского края в информационно-телекоммуникационной сети «Интернет» http://мин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энерго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.забайкальскийкрай.рф/.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может быть увеличена по соглашению сторон в ходе его исполнения, но не более чем на 15 процентов в связи с пропорциональным увеличением объема оказания услуг 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(или) выполнения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снижена по соглашению сторон при уменьшении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объемов услуг и (или)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стоимости и объемов услуг и (или) работ  производится при соблюдении заказчиком положений, установленных частью 5 статьи 189 Жилищного кодекса Российской Федерации. Иные положения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изменению не подлежат.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оплаты 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Par0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оказания услуг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приемки оказанных 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выполненных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Приемка результатов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после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в полном объеме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согласно графику оказания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выполнения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сроки приемки 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проверки соответствия качества объемов 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работ, установленных договором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Заказчик вправе привлекать независимых экспертов.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приемки 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 должен быть согласован с органом местного самоуправления, а также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необходимо предоставить Заказчику комплект исполнительной документации на оказанные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 (или) выполненные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требованиям, предъявляемым к актам освидетельствования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работ, конструкций, участков сетей инженерно-т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ехнического обеспечения (РД-11-02-2006), утвержденными приказом Федеральной службы по экологическому, технологическому и атомному надзору от 26 декабря 2006 года № 1128, а также другими нормативными документами в сфере строительства и капитального ремонта.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оказания услуг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Заказчиком в документации об электронном аукционе в пределах территории Забайкальского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Обеспечение исполнения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Исполнение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обеспечивается: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а) банковс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кой гарантией, выданной банком, включенным в перечень банков, отвечающих установленным требованиям для принятия банковских гарантий в целях налогообложения, предусмотренный статьей 74.1 Налогового кодекса Российской Федерации (далее - банковская гарантия);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б) обеспечительным платежом.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Способ обеспечения исполнения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определяется участником электронного аукцио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на, с которым заключается такой договор, самостоятельно из способов, предусмотренных пунктом 206 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доме, утвержденном постановлением Правительства Российской Федерации от 1 июля 2016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615 (далее – Положение).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обеспечения исполнения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заказчиком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Размер обеспечения исполнения обязательств 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может превышать тридцать процентов начальной (максимальной) цены договора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указанной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Гарантийный срок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pStyle w:val="903"/>
              <w:jc w:val="both"/>
              <w:tabs>
                <w:tab w:val="left" w:pos="6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о гарантийном сроке определяются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Срок предоставления гарантий на оказанные услуги и (или) выполненные работы не может быть менее 5 лет со дня подписания соответствующего акта о приемке оказанных услуг и (или) выполненных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>
          <w:trHeight w:val="1137"/>
        </w:trPr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Ответственность Заказчика и Исполнителя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Условия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предусматривающие ответственность сторон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 неисполнение или ненадлежащее исполнение обязательств по такому договору, определяются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заключения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заключается Заказчиком в соответствии с Гражданским кодексом Российской Федерации и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Порядок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определяется Заказчиком в документации об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Другие существенные условия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Предмет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место оказания услуг и (или) проведения работ, виды услуг и (или) работ не могут изменяться в ходе его исполнения,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случаев, предусмотренных Положением. Сроки оказания услуг и (или) выполнения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соглашению сторон могут быть продлены на период действия одного из следующих обстоятельств при наличии документов, подтверждающих такие обстоятельства: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изменение объема оказываемых услуг и (или) выполняемых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сторон при согласовании таких изменений собственниками помещений в многоквартирном доме, уполномоченным представителем собственников таких помещений или органами местного самоуправления в случаях, предусмотренных законодательством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недопуск собственникам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помещений в многоквартирном доме подрядной организации к оказанию услуг и (или) выполнению работ по капитальному ремонту по причинам, не связанным с неисполнением или ненадлежащим исполнением такой организацией договора о проведении капитального ремонта;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приостановка оказания услуг и (или) выполнения работ по капитальному ремонту в связи с наступлением отопительного сезона и (или) неблагоприятных погодных условий.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При исполнении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допускается перемена подрядчика, за исключением случаев, если новый подрядчик является правопреемником подрядчика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вследствие реорганизации юридического лица в порядке, предусмотренном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Расторжение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допускается: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а) по соглашению сторон;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б) по инициативе Заказчика, в том числе в виде одностороннего расторжения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или подрядной организации (основания такого расторжения устанавливаются в договоре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в) по решению суда по основаниям, предусмотренным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 Заказчик вправе расторгнуть 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одностороннем порядке с взысканием причиненных убытков в следующих случаях: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3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систематическое (2 раза и более) нарушение подрядной организацией сроков оказания услуг и (или)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задержка подрядной организацией начала оказания услуг и (или) выполнения работ более чем на 5 календарных дней по причинам, не зависящим от Заказчика или собственников помещений в многоквартирном доме;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неоднократное (2 раза и более в течение одного календарного месяца) несоблюдение (отступление от требований, предусмотренных договором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 документацией, стандартами, нормами и правилами, а также иными действующими нормативными правовыми актами) подрядной организацией требований к качеству услуг и (или) работ и (или) технологии проведения 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нарушение подрядной организацией сроков оказания услуг и (или) выполнения работ продолжительностью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 календарных дней по любому из многоквартирных домов;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ж) нарушение срока замены банковской гарантии, установленного договором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 отзыве лицензии, банкротстве или ликвидации банка-гаранта более чем на 2 рабочих дня;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з) выявление Заказчиком после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факта недействительности представленной подрядной организацией банковской гарантии (представление поддельных документов, получение от банка-гаранта опровержения выдачи банковской гарантии подрядной организации в письменной форме);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и) неисполнение обязательства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продлении срока банковской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сроков оказания услуг и (или) выполнения 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/>
        <w:rPr>
          <w:rFonts w:ascii="Times New Roman" w:hAnsi="Times New Roman" w:eastAsia="Calibri" w:cs="Times New Roman"/>
          <w:sz w:val="18"/>
          <w:szCs w:val="24"/>
        </w:rPr>
      </w:pPr>
      <w:r>
        <w:rPr>
          <w:rFonts w:ascii="Times New Roman" w:hAnsi="Times New Roman" w:eastAsia="Calibri" w:cs="Times New Roman"/>
          <w:sz w:val="18"/>
          <w:szCs w:val="24"/>
        </w:rPr>
      </w:r>
      <w:r>
        <w:rPr>
          <w:rFonts w:ascii="Times New Roman" w:hAnsi="Times New Roman" w:eastAsia="Calibri" w:cs="Times New Roman"/>
          <w:sz w:val="18"/>
          <w:szCs w:val="24"/>
        </w:rPr>
      </w:r>
      <w:r>
        <w:rPr>
          <w:rFonts w:ascii="Times New Roman" w:hAnsi="Times New Roman" w:eastAsia="Calibri" w:cs="Times New Roman"/>
          <w:sz w:val="18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Ориентировочные адресные перечни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многоквартирных домов, на выполнение капитального ремонта общего имущества в которых в дальнейшем будет проводиться электронный аукцион, либо указание на сайт в сети «Интернет», где размещены указанные адресные перечни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pStyle w:val="904"/>
        <w:ind w:left="108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18"/>
          <w:szCs w:val="24"/>
        </w:rPr>
      </w:pPr>
      <w:r>
        <w:rPr>
          <w:rFonts w:ascii="Times New Roman" w:hAnsi="Times New Roman" w:eastAsia="Calibri" w:cs="Times New Roman"/>
          <w:sz w:val="18"/>
          <w:szCs w:val="24"/>
        </w:rPr>
      </w:r>
      <w:r>
        <w:rPr>
          <w:rFonts w:ascii="Times New Roman" w:hAnsi="Times New Roman" w:eastAsia="Calibri" w:cs="Times New Roman"/>
          <w:sz w:val="18"/>
          <w:szCs w:val="24"/>
        </w:rPr>
      </w:r>
      <w:r>
        <w:rPr>
          <w:rFonts w:ascii="Times New Roman" w:hAnsi="Times New Roman" w:eastAsia="Calibri" w:cs="Times New Roman"/>
          <w:sz w:val="18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Ориентировочные адресные перечни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Ориентировочный адресный перечень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являющихся объектами культурного наследия, выявленными объектами культурного наследия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отношении которых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 дальнейшем будет проводиться электронный аукцион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и (или) выполнение работ по оценке технического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размещен на сайте органа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ведени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РКПО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http://минэнерго.забайкальскийкрай.рф/) в разделе «Деятельность» / «Жилищно-коммунальное хозяйство» / «Капитальный ремонт многоквартирных домов» / «Предварительный отбор подрядных организаций»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к участникам предварительного отбора, установленные пунктом 23 Положения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1572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17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Borders>
              <w:bottom w:val="single" w:color="auto" w:sz="4" w:space="0"/>
            </w:tcBorders>
            <w:tcW w:w="37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063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3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Borders>
              <w:top w:val="single" w:color="auto" w:sz="4" w:space="0"/>
            </w:tcBorders>
            <w:tcW w:w="37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Требования к участникам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063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предварительного отбора может являться юридическое лицо независимо от организационно-правовой формы или индивидуальный предприниматель, претендующие на включение в РКПО (далее – Участник).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 проведении предварительного отбора к его Участнику устанавливаются следующие требования: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членство в саморегулируемых организациях в области архитектурно-строительного проектирования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наличие у Участника лицензии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законодательством Российской Федерации о лицензировании отдельных видов деятельности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у Участника задолженн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ости по уплате налогов, сборов и иных обязательных платежей в бюджеты бюджетной системы Российской Федерации за прошедший календарный год, за исключением случаев обжалования им задолженностей по обязательным платежам в бюджеты бюджетной системы Российской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Федерации в соотв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етствии с законодательством Российской Федерации,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у Участника за 3 года, предшествующие дате окончания срока подачи заявок на участие в предварительном отборе, контракта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договора, в том числе заключенного в соответствии с Положением, по строительству, реконструкции и (или) капитальному ремонту объектов капитального строительства, относящихся к той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 услуг и (или) работ, что и предмет предварительного отбора,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условий такого контракта или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неприостановление деятельности Участника в порядке, предусмотренном Кодексом Российской Федерации об административных правонарушениях, на дату проведения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конфликта интересов, то 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случаев, при которых руководитель Заказчика, член комиссии по проведению предварительного отбора, комиссии по осуществлению закупо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должностное лицо Заказчика, осуществляющее организационное сопровождение привлечения подрядных организаций, состоят в браке с физическими лицами, являющимися выгодоприобретателями, единоличным исполнительным органом хозяйственного общества, членами 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егиального исполнительного органа хозяйственного общества, руководителем учреждения или унитарного предприятия либо иных органов управления юридического лица - Участника либо являются близкими родственниками (родственниками по прямой восходящей и нисходяще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линии (родителями и детьми, дедушкой, бабушкой и внуками), полнородными и неполнородными (имеющими общих отца или мать) братьями или сестрами), усыновителями указанных физических лиц или усыновленными ими. Под выгодоприобретателями понимаются физические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ладеющие напрямую или косвенно (через юридическое лицо или через несколько юридических лиц) более чем 10 (десятью) процентами голосующих акций хозяйственного общества либо долей, превышающей 10 (десять) процентов в уставном капитале хозяйственного общества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неприменение в отношении Участника – физического лица либо руководителя, членов коллег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иального исполнительного органа или главного бухгалтера Участника –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сведений об Участнике в реестре недобросовестных поставщиков (подрядчиков, исполнителей), 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сведений об Участнике в реестре недобросовестных подрядных организаций, ведение которого осуществляется федеральным органом исполнительной власти в порядке, установленном разделом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VII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Положения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невозможность для Участника являться юридическим лицом, местом регистрации которого является государство или территория, включенные в утверждаемый в соответствии с подпунктом 1 пункта 3 статьи 284 Нало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в отношении юридических лиц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наличие в штате 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соответствующих установленным пунктом 1 части 6 статьи 55.5 Градостроительного кодекса Российской Федерации квалификационным требованиям, в количестве, установленном в приложении № 2 «Требования к минимальному количеству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квалифицированного персонала, входящего в штат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к Документации о проведении предварительного отбора, но не ниже количества,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пунктом 2 части 6 статьи 55.5 Градостроительного кодекса Российской Федерации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наличие 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3 года, предшествующие дате окончания срока подачи заявок на участие в предварительном отборе, опыта оказания услуг и (или)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работ, аналогичных предмету проводимого предварительного отбора, не менее чем по 3 исполненным контрактам и (или) договорам, предметом которых являлись строительство, реконструкция, капитальный ремонт зданий, являющихся объектами капитального строительст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ва, ремонт (замена) лифтового оборудования, разработка проектной документации, в том числе по договорам, заключенным в соответствии с Положением. При этом минимальный размер стоимости оказанных услуг и (или) выполненных работ по указанным исполненным 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актам и (или) договорам установлен в приложении № 3 «Минимальный размер стоимости оказанных услуг и (или) выполненных работ» к Документации о проведении предварительного отбора в размере не более 10 процентов предельного размера обязательств по договорам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одряда на подготовку проектной документации, в соответствии с которым указанным участником предварительного отбора, являющимся членом саморегулируемой организации, основанной на членстве лиц, выполняющих инженерные изыскания, или саморегулируемой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ии, основанной на членстве лиц, осуществляющих подготовку проектной документации,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о) отсутствие в отношении Участника решения об исключ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ении подрядной организации из РКПО в случае установления одного из фактов, указанных в подпунктах «з» - «к» пункта 66 Положения, в течение года до даты рассмотрения заявок на участие в предварительном отборе комиссией по проведению предварительного отбора.</w:t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</w:rPr>
            </w:r>
          </w:p>
        </w:tc>
      </w:tr>
    </w:tbl>
    <w:p>
      <w:pPr>
        <w:ind w:firstLine="360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360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VI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к содержанию, форме и составу заявки на участие в предварительном отборе, предусмотренные пунктами 37 и 38 Положения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Требования к содержанию, форме и составу заявки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 Заявку на участие в предварительном отборе (далее – Заявка) рекомендуется подготовить и представить по форме, установленной в приложении № 1 к Документации о проведении предварительного отбора.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Заявка, а также все сведения и документы, которые входят в ее состав в соответствии с Документацией о проведении предварительного отбора, подаются через оператора электронной площадки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документа.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Заявка должна быть подписана усиленной неквалифицированной электронной подписью.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Ключи усиленных неквалифицированных электронных подписей должны быть созданы и выданы удостоверяющими центрами, получившими аккредитацию на соответствие требованиям Федерального закона от 06 апреля 2011 года № 63-ФЗ «Об электронной подписи».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4. Заявка должна содержать: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следующие сведения и документы об Участнике,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подавшем Заявку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 наименование, сведения об организационно-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правовой форме, о месте нахождения, об адресе юридического лица,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фамилию, имя, отчество, паспортные данные, сведения о месте жительства, номер контактного телефона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или засвидетельствованная в нотариальном порядке копия такой выписки, полученная не ранее чем за 30 календарных дней до даты подачи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Заявки, –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 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индивидуальных предпринимателей или засвидетельствованная в нотариальном порядке копия такой выписки, полученная не ранее чем за 30 календарных дней до даты подачи Заявки,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 учредительных документов Участника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засвидетельствованного в нотариальном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порядке перевода на русский язык документов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государства, полученная не ранее чем за 6 месяцев до дня подачи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Заявки,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иностранных лиц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4"/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документ, подтверждающий полномочия лица на осуществление действий от имени Участника;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следующие документы, подтверждающие соответствие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Участника требованиям, установленным пунктом 23 Положения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4"/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выписка из реестра лицензий на осуществление деятельности по сохранению объектов культурного наследия (памятников истории и культуры) народов Российской Федерации, предоставленная в форме электронного документа, подписанного усиленной ква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лифицированной электронной подписью лицензирующего органа либо в случае ведения указанного реестра лицензий в информационной системе, оператором которой является федеральный орган исполнительной власти, электронной подписью указанной информационной системы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4"/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 справки налогового органа об отсутствии задолженности по уплате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налогов, сборов и иных обязательных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платежей в бюджеты бюджетной системы Российской Федерации, полученная не ранее 1 января года, в котором подается Заявка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4"/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 расчета по страховым взносам, представляемого плательщиками страховых взносов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составленного за последний отчетный период, предшествующий дате подачи Заявки,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форме, утвержденной уполномоченным органом, с отметкой уполномоченного органа о приеме или 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иложением копии документов, подтверждающих прием уполномоченным органом такого расчета в форме электронного документа, копия штатного расписания, штатно-списочный состав сотрудников, копии трудовых книжек, дипломов, сертификатов, аттестатов и удостоверений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подтверждающих наличие у Участника в штате минимального количества квалифицированного персонала (ш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татно-списочный состав сотрудников рекомендуется представить по форме, установленной в приложении № 4 к Документации о проведении предварительного отбора)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 не менее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исполненных контрактов и (или) договоров, подтверждающих наличие у Участника, предусмотренного подпунктом «п»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пункта 23 Положения, опыта оказания услуг и (или) выполнения работ, аналогичных предмету проводимого предварительного отбора, в которых указаны установленный срок оказания услуг и (или) выполнения работ и их первоначальная стоимость, копии актов приемки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азанных услуг и (или) выполненных работ или иных документов по таким контрактам и (или) договорам, в которых указана их окончательная стоимость и которыми подтверждается приемка заказчиком услуг и (или) работ, оказанных и (или) выполненных в полном объеме.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минимальный размер стоимости оказанных услуг и (или) выполненных работ по указанным исполненным 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актам и (или) договорам установлен в приложении № 3 «Минимальный размер стоимости оказанных услуг и (или) выполненных работ» к Документации о проведении предварительного отбора в размере не более 10 процентов предельного размера обязательств по договорам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одряда на подготовку проектной документации, в соответствии с которым указанным участником предварительного отбора, являющимся членом саморегулируемой организации, основанной на членстве лиц, выполняющих инженерные изыскания, или саморегулируемой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ии, основанной на членстве лиц, осуществляющих подготовку проектной документации,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стоимости оказанных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и (или) выполненных работ по всем исполненным контрактам и (или) договорам, представленным Участником и соответствующим требованиям пункта 23 Положения, определяется как совокупная стоимость услуг и (или) работ по таким контрактам и (или) договорам.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Обобщенные сведения о наличии контрактов и (или) договоров и их выполнении рекомендуется представить по форме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ечень контрактов и (или) договоров, подтверждающих наличие у участника предварительного отбора опыта оказания услуг и (или) выполнения работ, аналогичных предмету предварительного отбора» (приложение № 5 к Документации о проведении предварительного отбора)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согласие на обработку персональных данных 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соответствии с пунктом 9 статьи 9 Федерального закона от 27 июля 2006 года № 152-ФЗ «О персональных данных» каждого работника, персональные данные которого содержатся в заявке на участие в предварительном отборе.</w:t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(рекомендуемая форма представлена в приложении № 7)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VII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подачи заявок на участие в предварительном отборе подрядных организаций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Порядок, дата начала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Взимание платы оператором электронной площадки с участников предварительного отбора и с органа по 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реестра не допускается.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Заявка, а также все сведения и документы, которые входят в ее состав в соответствии с Положением,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подаются через оператора электронной площадки в виде электронного документа.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установлена в извещении о проведении предварительного отбора (далее – извещение) и разделе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 Документации о 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одного предмета 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Участник вправе подать только одну Заявку, пока она не рассмотрена в порядке, предусмотренном Положением, и по ней не принято решение об отказе во включении Участника в РКПО.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  <w:tab w:val="left" w:pos="127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Каждая Заявка, поступившая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срок, указанный в извещении и Документации о проведении предварительного отбора,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регистрируется оператором электронной площадки с присвоением порядкового номера.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Заявки, поданные после даты и времени окончания срока подачи заявок, не принимаются оператором электронной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изменить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Внесение изменений в Заявку осуществляется через сайт оператора электронной площадки в соответствии с регламентом работы электронной площадки. Изменения, которые вносятся в Заявку, должны быть подписаны усиленной неквалифицированной электронной подписью.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подачи Заявок должен быть продлен таким образом,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 с даты размещения на официальном сайте и сайте оператора электронной площадки изменений, вносимых в соответствии с пунктом 21 Положения, до даты окончания срока подачи заявок на участие в предварительном отборе этот срок составлял не менее чем 10 дней.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  <w:tab w:val="left" w:pos="127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</w:tbl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VIII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и срок отзыва заявок на участие в предварительном отборе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 и срок отзыва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отозвать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 может быть отозвана до даты и времени окончания срока подачи Заявок, указанных в извещении и разделе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 Документации о 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Отзыв Заявки осуществляется через сайт оператора электронной площадки в соответствии с регламентом работы электронной площадки.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Уведомление об отзыве Заявки должно быть подписано усиленной неквалифицированной электронной подписью Участника.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left="142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IX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Форма,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и сроки предоставления участникам предварительного отбора разъяснений положений Документации о проведении предварительного отбора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142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Форма, порядок и сроки предоставления участникам предварительного отбора разъяснений положений Документации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Любое заинтересованное лицо в соответствии с регламентом работы электронной площадки вправе направить в орган по ведению РКПО в виде электронного докум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ента через оператора электронной площадки запрос о разъяснении Документации о проведении предварительного отбора (далее – запрос). Запрос рекомендуется направлять по форме, установленной в приложении № 6 к Документации о 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случае если запрос поступил в орган по ведению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РКПО не позднее чем за 5 рабочих дней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даты окончания срока подачи Заявок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установленной в извещении и разделе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 Документации о проведении предварительного отбора, орган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ведению РКПО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лица, от которого поступил запрос.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указанной документации по предварительному отбору не должно изменять ее суть.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в пункте 34 Положения запросы, поступившие позднее чем за 5 рабочих дней до даты окончания срока подачи Заявок, не принимаются оператором электронной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142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ind w:left="852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X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рассмотрения заявок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Общие положения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Поступившие от Участников Заявки рассматриваются комиссией по проведению предварительного отбора подрядных организаций (далее – комиссия по проведению предварительного отбора).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проведению предварительного отбора осуществляет рассмотрение Заявок на соответствие требованиям, установленным пунктом 30 Положения, ведет и оформляет необходимые протоколы по всем процедурам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проводимым в ходе осуществления предварительного отбора, рассматривает вопрос о включении (об отказе во включении) участника предварительного отбора в реестр квалифицированных подрядных организаций и другие действия в соответствии с настоящим Положением.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период рассмотрения Заявок комиссия по проведению предварительного отбора: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осуществляет проверку Заявок на соответствие установленным требованиям;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проводит проверку Заявки и входящих в ее состав документов на предмет объективности, достоверности, отсутствия противоречий, в том числе проводит такие проверки в срок,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превышающий 14 календарных дней, по заявлениям физических и (или) юридических лиц, поступившим в ее адрес или в адрес органа по ведению РКПО, о недостоверности информации, представленной Участником;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принимает решения по результатам проводимых проверок в случае, если они проводятся в связи с поступившими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явлениями, указанными в подпункте «б» настоящего пункта. При этом такое решение должно быть принято комиссией по проведению предварительного отбора до заседания, на котором будет рассматриваться вопрос о включении (об отказе во включении) Участника в РКПО.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На основании результатов рассмотрения Заявок комиссия по проведению предварительного отбора принимает одно из следующих решений: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включение Участника в РКПО;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отказ во включении Участника в РКПО в случаях, указанных в пункте 53 Положения.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Решение об отказе во включении Участника в РКПО принимается в следующих случаях: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несоответствие Участника требованиям, установленным пунктом 23 Положения;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Заявка не соответствует требованиям, установленным пунктом 38 Положения;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установление факта представления Участником недостоверной информации (сведений, документов) в составе Заявки.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В случае установления факта подачи одним Участником 2 и более Заявок при условии, что поданные ранее Заявки таким Участником не отозваны, все Заявки такого Участника не рассматриваются.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Результаты рассмотрения Заявок и решение вопросов, указанных в подпунктах 2 и 3 настоящего пункта, оформляются протоколом комиссии по проведению предвар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ительного отбора, который подписывается всеми членами комиссии, участвующими в заседании. Протокол оформляется и размещается органом по ведению РКПО на официальном сайте и сайте оператора электронной площадки в течение 2 рабочих дней со дня его подписания.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В протоколе указывается информация о месте, дате и времени рассмотрения Заявок, номер предварительного отбора, наименование (для юридического лица), адрес электронной площадки в сети «Интернет», на которой проводится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отбор, фамилия, имя, отчество (при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ичии) (для физического лица, зарегистрированного в качестве индивидуального предпринимателя), адрес юридического лица и электронный адрес, идентификационный номер налогоплательщика каждого Участника, наличие информации и документов, предусмотренных 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тацией о проведении предварительного отбора, состав членов комиссии, участвующих в рассмотрении Заявок, принятые решения. При принятии комиссией по проведению предварительного отбора решения об отказе во включении Участника в РКПО в протоколе указывается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боснование такого решения со ссылками на нормы Положения, которым не соответствует Участник, на положения Документации о проведении предварительного отбора, которым не соответствует Заявка этого Участника, на документы, подтверждающие такое несоответствие.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При принятии комиссией по проведению предварительного отбора решения о включении Участника в РКПО в протоколе указывается 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размер обязательств Участника по обязательствам по договорам подряда на подготовку проектной документации, по договорам строительного подряда, заключаемым с использованием конкурентных способов заключения договоров, в соответствии с которым такой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 предварительного отбора, как член соответствующей саморегулируемой организации, внес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 по ведению РК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обязан осуществлять аудио- и (или) видеозаписи всех заседаний комиссии по проведению предварительного отбора. Любой Участник и (или) его представитель вправе участвовать в заседаниях комиссии и осуществлять аудио- и (или) видеозаписи заседания комиссии.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признании предварительного отбора несостоявшимся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В случае если после окончания срока подачи Заявок подана единственная Заявка или не подано ни одной такой заявки,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В случае если предварительный отбор признан несостоявшимся в связи с подачей единственной Заявки и Участник, подавший такую Заявку, соответствует требованиям, установленным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пунктом 23 Положения, то он включается в РКПО.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В случае если предварительный отбор признан несостоявшимся на основании отсутствия Заявок, орган по ведению РКПО вправе объявить процедуру предварительного отбора повторно.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по результатам рассмотрения комиссией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предварительного отбора Заявок, поданных Участниками до даты окончания срока подачи Заявок, принято решение о невключении в РКПО всех Участников или о включении в РКПО только одного Участника,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</w:p>
        </w:tc>
      </w:tr>
    </w:tbl>
    <w:p>
      <w:pPr>
        <w:ind w:left="5670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1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ЗАЯВКА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НА УЧАСТИЕ В ПРЕДВАРИТЕЛЬНОМ ОТБОРЕ ПОДРЯДНЫХ ОРГАНИЗАЦИЙ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 ИЗВЕЩЕНИЮ № _______________ ОТ __________________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«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ab/>
        <w:t xml:space="preserve">      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______________ 2</w:t>
      </w:r>
      <w:r>
        <w:rPr>
          <w:rFonts w:ascii="Times New Roman" w:hAnsi="Times New Roman" w:eastAsia="Calibri" w:cs="Times New Roman"/>
          <w:sz w:val="24"/>
          <w:szCs w:val="24"/>
        </w:rPr>
        <w:t xml:space="preserve">0_</w:t>
      </w:r>
      <w:r>
        <w:rPr>
          <w:rFonts w:ascii="Times New Roman" w:hAnsi="Times New Roman" w:eastAsia="Calibri" w:cs="Times New Roman"/>
          <w:sz w:val="24"/>
          <w:szCs w:val="24"/>
        </w:rPr>
        <w:t xml:space="preserve">__ года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Изучив условия Извещения о проведении предварительного отбора подрядных организаций № __________ от __________, и принимая установленные в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нем требования и условия,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(указывается полное наименование, организационно правовая форма участника предварительного отбора или ФИО индивидуального предпринимателя)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 лице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(указывается фамилия, имя, отчество (при наличии) представителя участника предварительного отбора – юридического лица), действующего на основании (указывается документ, на основании которого действует представитель юридического лица или физического лица)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просит рассмотреть заявку на участие в предварительном отборе подрядных организаций по следующему предмету электронного аукциона: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(указывается предмет предварительного отбора) 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Документация о проведении предварительного отбора изучена в полном объеме и признана полной и достаточной для подготовки настоящей Заявки.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Настоящим гарантируем достоверность представленной информации и подтверждаем право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Министерства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Забайкальского края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получать в открытых информационных источниках, в уполномоченных органах власти информацию, уточняющую представленные нами в заявке сведения.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Сообщаем о себе следующие сведения: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а) для юридического лица: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89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 наименование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об организационно-правовой форме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нахождения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(при наличии) учредителей (ФИО учредителей / 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членов коллегиального исполнительного органа (ФИО членов коллегиального исполнительного органа / ИНН)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лица, исполняющего функции единоличного исполнительного органа участника (ФИО такого лица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ФИО лица, уполномоченного на осуществление действий от имени участника предварительного отбора и на подачу заявки / ИНН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б) для физического лица, зарегистрированного в качестве индивидуального предпринимателя: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89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Фамилия, имя отчество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Паспортные данные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 месте жительства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Номер контактного телефона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(указывается полное наименование и организационно-правовая форма юридического лица или Фамилия Имя Отчество (при наличии отчества) для индивидуального предпринимателя)       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 соответствие требованиям, установленным в Документации о проведении предварительного отбора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настоящей заявке на участие в предварительном отборе прилагаются документы, являющиеся неотъемлемой частью заявки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(указывается наименование участника предварительного отбора)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на участие в предварительном отборе.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Опись прилагаемых документов: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899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7295"/>
        <w:gridCol w:w="1545"/>
      </w:tblGrid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vAlign w:val="bottom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…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М.П.</w:t>
      </w: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2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МИНИМАЛЬНОМУ КОЛИЧЕСТВУ КВАЛИФИЦИРОВАННОГО ПЕРСОНАЛА, ВХОДЯЩЕГО В ШТАТ УЧАСТНИКА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Участником предварительного отбора должны быть соблюдены следующие требования к минимальному количеству квалифицированного персонала, входящего в штат Участника: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квалификационные требования к индивидуальным предприн</w:t>
      </w:r>
      <w:r>
        <w:rPr>
          <w:rFonts w:ascii="Times New Roman" w:hAnsi="Times New Roman" w:cs="Times New Roman"/>
          <w:sz w:val="24"/>
          <w:szCs w:val="24"/>
        </w:rPr>
        <w:t xml:space="preserve">имателям, а также руководителям юридического лица, самостоятельно организующим выполнение инженерных изысканий, подготовку проектной документации, - наличие высшего образования соответствующего профиля и стажа работы по специальности не менее чем пять лет;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требования к наличию у индивидуального предпринимателя или юридического лица специалистов по организации инженерных изысканий (главных и</w:t>
      </w:r>
      <w:r>
        <w:rPr>
          <w:rFonts w:ascii="Times New Roman" w:hAnsi="Times New Roman" w:cs="Times New Roman"/>
          <w:sz w:val="24"/>
          <w:szCs w:val="24"/>
        </w:rPr>
        <w:t xml:space="preserve">нженеров проектов), специалистов по организации архитектурно-строительного проектирования (главных инженеров проектов, главных архитекторов проектов), трудовая функция которых включает соответственно организацию выполнения работ по инженерным изысканиям, в</w:t>
      </w:r>
      <w:r>
        <w:rPr>
          <w:rFonts w:ascii="Times New Roman" w:hAnsi="Times New Roman" w:cs="Times New Roman"/>
          <w:sz w:val="24"/>
          <w:szCs w:val="24"/>
        </w:rPr>
        <w:t xml:space="preserve">ыполнения работ по подготовке проектной документации и сведения о которых включены в национальные реестры специалистов, предусмотренные статьей 55.5-1 Градостроительного кодекса Российской Федерации, - не менее чем два специалиста по месту основной работы.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СПРАВОЧНО (в соответствии со статьей 55.5-1 Градостроительного кодекса Российской Федерации):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Специалистом по организации инженерных изысканий, специалистом по организации архитектурно-строительного проектирования является физическое лицо, которое имеет право осуществлять по трудовому договору, закл</w:t>
      </w:r>
      <w:r>
        <w:rPr>
          <w:rFonts w:ascii="Times New Roman" w:hAnsi="Times New Roman" w:cs="Times New Roman"/>
          <w:sz w:val="24"/>
          <w:szCs w:val="24"/>
        </w:rPr>
        <w:t xml:space="preserve">юченному с индивидуальным предпринимателем или юридическим лицом, трудовые функции по организации выполнения работ по инженерным изысканиям, подготовке проектной документации, в том числе в должности главного инженера проекта, главного архитектора проекта.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должностным обязанностям специалистов по организации инженерных изысканий, специалистов по организации архитектурно-строительного проектирования в том числе относятся соответственно: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утверждение заданий на выполнение работ по инженерным изысканиям, заданий на проектирование объекта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представление, согласование и приемка результатов работ по выполнению инженерных изысканий, подготовке проектной документации;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утверждение результатов инженерных изысканий, проектной документации.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Сведения о физических лицах включаются в национальный реестр специалистов в области инженерных изысканий и архитектурно-</w:t>
      </w:r>
      <w:r>
        <w:rPr>
          <w:rFonts w:ascii="Times New Roman" w:hAnsi="Times New Roman" w:cs="Times New Roman"/>
          <w:iCs/>
          <w:sz w:val="24"/>
          <w:szCs w:val="24"/>
        </w:rPr>
        <w:t xml:space="preserve">строительного проектирования 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документации.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требованиям: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1)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наличие высшего образования по специальности или направлению подготовки в области строительства;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2)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наличие стажа работы на инженерных</w:t>
      </w:r>
      <w:r>
        <w:rPr>
          <w:rFonts w:ascii="Times New Roman" w:hAnsi="Times New Roman" w:cs="Times New Roman"/>
          <w:iCs/>
          <w:sz w:val="24"/>
          <w:szCs w:val="24"/>
        </w:rPr>
        <w:t xml:space="preserve"> должностях не менее чем три года в организациях, выполняющих инженерные изыскания, осуществляющих подготовку проектной документации, в организациях, осуществляющих строительство, реконструкцию, капитальный ремонт, снос объектов капитального строительства;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3)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наличие общего трудового стажа по профессии,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 законом</w:t>
      </w:r>
      <w:r>
        <w:rPr>
          <w:rFonts w:ascii="Times New Roman" w:hAnsi="Times New Roman" w:cs="Times New Roman"/>
          <w:iCs/>
          <w:sz w:val="24"/>
          <w:szCs w:val="24"/>
        </w:rPr>
        <w:t xml:space="preserve"> от 3 июля 2016 года № 238-ФЗ «</w:t>
      </w:r>
      <w:r>
        <w:rPr>
          <w:rFonts w:ascii="Times New Roman" w:hAnsi="Times New Roman" w:cs="Times New Roman"/>
          <w:iCs/>
          <w:sz w:val="24"/>
          <w:szCs w:val="24"/>
        </w:rPr>
        <w:t xml:space="preserve">О </w:t>
      </w:r>
      <w:r>
        <w:rPr>
          <w:rFonts w:ascii="Times New Roman" w:hAnsi="Times New Roman" w:cs="Times New Roman"/>
          <w:iCs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iCs/>
          <w:sz w:val="24"/>
          <w:szCs w:val="24"/>
        </w:rPr>
        <w:t xml:space="preserve"> независимой оценки квалификации физическ</w:t>
      </w:r>
      <w:r>
        <w:rPr>
          <w:rFonts w:ascii="Times New Roman" w:hAnsi="Times New Roman" w:cs="Times New Roman"/>
          <w:iCs/>
          <w:sz w:val="24"/>
          <w:szCs w:val="24"/>
        </w:rPr>
        <w:t xml:space="preserve">ого лица, претендующего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капитального стро</w:t>
      </w:r>
      <w:r>
        <w:rPr>
          <w:rFonts w:ascii="Times New Roman" w:hAnsi="Times New Roman" w:cs="Times New Roman"/>
          <w:iCs/>
          <w:sz w:val="24"/>
          <w:szCs w:val="24"/>
        </w:rPr>
        <w:t xml:space="preserve">ительства, на соответствие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</w:t>
      </w:r>
      <w:r>
        <w:rPr>
          <w:rFonts w:ascii="Times New Roman" w:hAnsi="Times New Roman" w:cs="Times New Roman"/>
          <w:iCs/>
          <w:sz w:val="24"/>
          <w:szCs w:val="24"/>
        </w:rPr>
        <w:t xml:space="preserve">становленных </w:t>
      </w:r>
      <w:r>
        <w:rPr>
          <w:rFonts w:ascii="Times New Roman" w:hAnsi="Times New Roman" w:cs="Times New Roman"/>
          <w:iCs/>
          <w:sz w:val="24"/>
          <w:szCs w:val="24"/>
        </w:rPr>
        <w:t xml:space="preserve">статьей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iCs/>
          <w:sz w:val="24"/>
          <w:szCs w:val="24"/>
        </w:rPr>
        <w:t xml:space="preserve">;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4)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не реже одного раза в пять лет прохождение в соответствии с Федеральным законом</w:t>
      </w:r>
      <w:r>
        <w:rPr>
          <w:rFonts w:ascii="Times New Roman" w:hAnsi="Times New Roman" w:cs="Times New Roman"/>
          <w:iCs/>
          <w:sz w:val="24"/>
          <w:szCs w:val="24"/>
        </w:rPr>
        <w:t xml:space="preserve"> от 3 июля 2016 года № 238-ФЗ «</w:t>
      </w:r>
      <w:r>
        <w:rPr>
          <w:rFonts w:ascii="Times New Roman" w:hAnsi="Times New Roman" w:cs="Times New Roman"/>
          <w:iCs/>
          <w:sz w:val="24"/>
          <w:szCs w:val="24"/>
        </w:rPr>
        <w:t xml:space="preserve">О </w:t>
      </w:r>
      <w:r>
        <w:rPr>
          <w:rFonts w:ascii="Times New Roman" w:hAnsi="Times New Roman" w:cs="Times New Roman"/>
          <w:iCs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iCs/>
          <w:sz w:val="24"/>
          <w:szCs w:val="24"/>
        </w:rPr>
        <w:t xml:space="preserve"> независимой оценки квалификации физического лица, претендующ</w:t>
      </w:r>
      <w:r>
        <w:rPr>
          <w:rFonts w:ascii="Times New Roman" w:hAnsi="Times New Roman" w:cs="Times New Roman"/>
          <w:iCs/>
          <w:sz w:val="24"/>
          <w:szCs w:val="24"/>
        </w:rPr>
        <w:t xml:space="preserve">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капитального строительства, на соотве</w:t>
      </w:r>
      <w:r>
        <w:rPr>
          <w:rFonts w:ascii="Times New Roman" w:hAnsi="Times New Roman" w:cs="Times New Roman"/>
          <w:iCs/>
          <w:sz w:val="24"/>
          <w:szCs w:val="24"/>
        </w:rPr>
        <w:t xml:space="preserve">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установленных статьей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iCs/>
          <w:sz w:val="24"/>
          <w:szCs w:val="24"/>
        </w:rPr>
        <w:t xml:space="preserve">;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5)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наличие документа, подтверждающ</w:t>
      </w:r>
      <w:r>
        <w:rPr>
          <w:rFonts w:ascii="Times New Roman" w:hAnsi="Times New Roman" w:cs="Times New Roman"/>
          <w:iCs/>
          <w:sz w:val="24"/>
          <w:szCs w:val="24"/>
        </w:rPr>
        <w:t xml:space="preserve">его право иностранного гражданина на осуществление трудовой деятельности на территории Российской Федерации, за исключением случаев, если в соответствии с федеральными законами или международными договорами Российской Федерации такой документ не требуется;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6)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отсутствие непогашенной или неснятой судимости за совершение умышленного преступления.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3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МИНИМАЛЬНЫЙ РАЗМЕР СТОИМОСТИ ОКАЗАННЫХ УСЛУГ И (ИЛИ) ВЫПОЛНЕННЫХ РАБОТ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Style w:val="899"/>
        <w:tblW w:w="9494" w:type="dxa"/>
        <w:jc w:val="center"/>
        <w:tblLook w:val="04A0" w:firstRow="1" w:lastRow="0" w:firstColumn="1" w:lastColumn="0" w:noHBand="0" w:noVBand="1"/>
      </w:tblPr>
      <w:tblGrid>
        <w:gridCol w:w="564"/>
        <w:gridCol w:w="4609"/>
        <w:gridCol w:w="4321"/>
      </w:tblGrid>
      <w:tr>
        <w:tblPrEx/>
        <w:trPr>
          <w:jc w:val="center"/>
          <w:trHeight w:val="5253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обязательств по договорам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подряда на подготовку проектной документации,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которым Участником как членом саморегулируемой организации, основанной на членстве 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выполняющих инженерные изыскания, или саморегулируемой организации, основанной на членстве лиц, осуществляющих подготовку проектной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21" w:type="dxa"/>
            <w:vAlign w:val="center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стоимости оказанных услуг и (или) выполненных работ по исполненным контрактам и (или) договорам*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25 миллионов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(первый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21" w:type="dxa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от предельного размера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09" w:type="dxa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50 миллионов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(второй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21" w:type="dxa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1 % от предельного размера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09" w:type="dxa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300 миллионов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(третий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21" w:type="dxa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от предельного размера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300 миллионов рублей и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(четвертый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21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 Размер стоимости оказанных</w:t>
      </w:r>
      <w:r>
        <w:rPr>
          <w:rFonts w:ascii="Times New Roman" w:hAnsi="Times New Roman" w:cs="Times New Roman"/>
          <w:sz w:val="24"/>
          <w:szCs w:val="24"/>
        </w:rPr>
        <w:t xml:space="preserve"> услуг и (или) выполненных работ по всем исполненным контрактам и (или) договорам, представленным Участником и соответствующим требованиям пункта 23 Положения, определяется как совокупная стоимость услуг и (или) работ по таким контрактам и (или) договорам.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4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ШТАТНО-СПИСОЧНЫЙ СОСТАВ СОТРУДНИКОВ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Участник предварительного отбора подрядных организаций: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u w:val="single"/>
          <w:lang w:eastAsia="ru-RU"/>
        </w:rPr>
        <w:t xml:space="preserve">(указывается полное наименование и организационно правовая форма для юридического лица или Ф.И.О. (при наличии отчества) для индивидуального предпринимателя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  <w:t xml:space="preserve"> .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</w:p>
    <w:p>
      <w:pPr>
        <w:pStyle w:val="904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"/>
        <w:gridCol w:w="1371"/>
        <w:gridCol w:w="1842"/>
        <w:gridCol w:w="1415"/>
        <w:gridCol w:w="1558"/>
        <w:gridCol w:w="1132"/>
        <w:gridCol w:w="1740"/>
      </w:tblGrid>
      <w:tr>
        <w:tblPrEx/>
        <w:trPr/>
        <w:tc>
          <w:tcPr>
            <w:shd w:val="clear" w:color="auto" w:fill="auto"/>
            <w:tcW w:w="19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26" w:type="pct"/>
            <w:vAlign w:val="center"/>
            <w:textDirection w:val="lrTb"/>
            <w:noWrap w:val="false"/>
          </w:tcPr>
          <w:p>
            <w:pPr>
              <w:ind w:left="168" w:right="79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Фамилия, имя, отчество сотрудника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76" w:type="pct"/>
            <w:vAlign w:val="center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Идентификацио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ный номер в Национальном реестре специалистов в области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инженерных изысканий и архитектурно-строительного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НОПРИЗ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50" w:type="pct"/>
            <w:vAlign w:val="center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Должность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26" w:type="pct"/>
            <w:vAlign w:val="center"/>
            <w:textDirection w:val="lrTb"/>
            <w:noWrap w:val="false"/>
          </w:tcPr>
          <w:p>
            <w:pPr>
              <w:ind w:left="51" w:right="6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Образование, специальность (по диплому)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00" w:type="pct"/>
            <w:vAlign w:val="center"/>
            <w:textDirection w:val="lrTb"/>
            <w:noWrap w:val="false"/>
          </w:tcPr>
          <w:p>
            <w:pPr>
              <w:ind w:left="71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Стаж работы по специальности, лет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2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сертификатов, аттестатов и удостоверений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подтверждающих квалификацию сотрудника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W w:w="199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7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76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</w:p>
        </w:tc>
        <w:tc>
          <w:tcPr>
            <w:shd w:val="clear" w:color="auto" w:fill="ffffff"/>
            <w:tcW w:w="75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8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0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99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7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76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</w:p>
        </w:tc>
        <w:tc>
          <w:tcPr>
            <w:shd w:val="clear" w:color="auto" w:fill="ffffff"/>
            <w:tcW w:w="75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8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0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99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7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76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</w:p>
        </w:tc>
        <w:tc>
          <w:tcPr>
            <w:shd w:val="clear" w:color="auto" w:fill="ffffff"/>
            <w:tcW w:w="75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8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0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904"/>
        <w:ind w:right="-37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5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ПЕРЕЧЕНЬ КОНТРАКТОВ И (ИЛИ) ДОГОВОРОВ, ПОДТВЕРЖДАЮЩИХ НАЛИЧИЕ У УЧАСТНИКА ПРЕДВАРИТЕЛЬНОГО ОТБОРА ОПЫТА ОКАЗАНИЯ УСЛУГ И (ИЛИ) ВЫПОЛНЕНИЯ РАБОТ, АНАЛОГИЧНЫХ ПРЕДМЕТУ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tbl>
      <w:tblPr>
        <w:tblStyle w:val="899"/>
        <w:tblW w:w="5000" w:type="pct"/>
        <w:tblLayout w:type="fixed"/>
        <w:tblLook w:val="04A0" w:firstRow="1" w:lastRow="0" w:firstColumn="1" w:lastColumn="0" w:noHBand="0" w:noVBand="1"/>
      </w:tblPr>
      <w:tblGrid>
        <w:gridCol w:w="434"/>
        <w:gridCol w:w="954"/>
        <w:gridCol w:w="1418"/>
        <w:gridCol w:w="1131"/>
        <w:gridCol w:w="1133"/>
        <w:gridCol w:w="1416"/>
        <w:gridCol w:w="1277"/>
        <w:gridCol w:w="1807"/>
      </w:tblGrid>
      <w:tr>
        <w:tblPrEx/>
        <w:trPr>
          <w:trHeight w:val="2622"/>
        </w:trPr>
        <w:tc>
          <w:tcPr>
            <w:tcW w:w="22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49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заключения и номер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Предмет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(объект (объекты), в отношении которого (которых) оказаны услуги и (или) выполнены работы)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Установленный срок оказания услуг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Первоначальная стоимость услуг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и номер актов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выполненных работ по контракту и (или) договору или иных документов, подтверждающих приемку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66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Окончательная стоимость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 (согласно актам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ыполненных работ),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4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Наличие подтверждения приемки заказчиком услуг и (или) работ по контракту и (или) договору, оказанных и (или) выполненных в полном объеме (наличие/отсутствие подписи заказчика о приемке)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6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ЗАПРОС О РАЗЪЯСНЕНИИ ДОКУМЕНТАЦИИ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Руководствуясь пунктом 34 Положения о привлечении специализированной некоммерческой организацией, осуществляющей деятельность, направленную на обеспечение проведения капи</w:t>
      </w:r>
      <w:r>
        <w:rPr>
          <w:rFonts w:ascii="Times New Roman" w:hAnsi="Times New Roman" w:eastAsia="Calibri" w:cs="Times New Roman"/>
          <w:sz w:val="24"/>
          <w:szCs w:val="24"/>
        </w:rPr>
        <w:t xml:space="preserve">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утвержденное Постановлением Правительства Российской Федерации от </w:t>
      </w:r>
      <w:r>
        <w:rPr>
          <w:rFonts w:ascii="Times New Roman" w:hAnsi="Times New Roman" w:eastAsia="Calibri" w:cs="Times New Roman"/>
          <w:sz w:val="24"/>
          <w:szCs w:val="24"/>
        </w:rPr>
        <w:t xml:space="preserve">0</w:t>
      </w:r>
      <w:r>
        <w:rPr>
          <w:rFonts w:ascii="Times New Roman" w:hAnsi="Times New Roman" w:eastAsia="Calibri" w:cs="Times New Roman"/>
          <w:sz w:val="24"/>
          <w:szCs w:val="24"/>
        </w:rPr>
        <w:t xml:space="preserve">1 июля 2016 года № 615, просим дать разъяснения следующих положений Документации о проведении предварительного отбора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№ 5</w:t>
      </w:r>
      <w:r>
        <w:rPr>
          <w:rFonts w:ascii="Times New Roman" w:hAnsi="Times New Roman" w:eastAsia="Calibri" w:cs="Times New Roman"/>
          <w:sz w:val="24"/>
          <w:szCs w:val="24"/>
        </w:rPr>
        <w:t xml:space="preserve">-ПО(1</w:t>
      </w:r>
      <w:bookmarkStart w:id="1" w:name="_GoBack"/>
      <w:r/>
      <w:bookmarkEnd w:id="1"/>
      <w:r>
        <w:rPr>
          <w:rFonts w:ascii="Times New Roman" w:hAnsi="Times New Roman" w:eastAsia="Calibri" w:cs="Times New Roman"/>
          <w:sz w:val="24"/>
          <w:szCs w:val="24"/>
        </w:rPr>
        <w:t xml:space="preserve">).ОТСПК.20</w:t>
      </w:r>
      <w:r>
        <w:rPr>
          <w:rFonts w:ascii="Times New Roman" w:hAnsi="Times New Roman" w:eastAsia="Calibri" w:cs="Times New Roman"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sz w:val="24"/>
          <w:szCs w:val="24"/>
        </w:rPr>
        <w:t xml:space="preserve">5</w:t>
      </w:r>
      <w:r>
        <w:rPr>
          <w:rFonts w:ascii="Times New Roman" w:hAnsi="Times New Roman" w:eastAsia="Calibri" w:cs="Times New Roman"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_____________________________________________________________________________________________________2._________________________________________________________________________________________________________________________________________________________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М.П.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7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before="260"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СОГЛАСИЕ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на обработку персональных данных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Я, _________________________________________________________________________,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(фамилия, имя, отчество (при наличии))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в соответствии с п. 4 ст. 9 Федерального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закона от 27.07.2006  № 152-ФЗ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«О персональных данных», зарегистрирован(а)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по адресу:_____________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документ, удостоверяющий личность: 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(наименование документа, номер, сведения о дате выдачи документа и выдавшем его органе)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в целях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передачи документов 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_________________________,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(указать наименование организации)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располож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енному по адресу: 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(указать адрес организации)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содержащих мои персональные данные, в составе заявки на участие в предварительном отборе подрядных организаций для включения в реестр квалифицированных подрядных организаций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даю согласие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Министерству жилищно-коммунального хозяйства, энергетики, цифровизации и связи Забайкальского края, находящемуся по адресу: Забайкальский край, г. Чита, ул. Чкалова, д. 136, на обработ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ку моих персональных данных (фамилия, имя, отчество (при наличии), адрес регистрации, образование, профессия, а также иной информации, относящейся ко мне), то есть на совершение действий, предусмотренных п. 3 ст. 3 Федерального закона от 27 июля 2006 года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br/>
        <w:t xml:space="preserve">№ 152-ФЗ «О персональных данных».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Настоящее согласие действует со дня его подписания до дня отзыва в письменной форме.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"___"______________ 2025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Субъект персональных данных: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__________________/_________________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(подпись)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(Ф.И.О.)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8707039"/>
      <w:docPartObj>
        <w:docPartGallery w:val="Page Numbers (Top of Page)"/>
        <w:docPartUnique w:val="true"/>
      </w:docPartObj>
      <w:rPr/>
    </w:sdtPr>
    <w:sdtContent>
      <w:p>
        <w:pPr>
          <w:pStyle w:val="912"/>
          <w:jc w:val="center"/>
          <w:spacing w:after="12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33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179" w:hanging="360"/>
      </w:pPr>
      <w:rPr>
        <w:rFonts w:hint="default" w:ascii="Courier New" w:hAnsi="Courier New" w:cs="Courier New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89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1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3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5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7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9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1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3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50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572" w:hanging="72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>
      <w:start w:val="3"/>
      <w:numFmt w:val="decimal"/>
      <w:isLgl w:val="false"/>
      <w:suff w:val="tab"/>
      <w:lvlText w:val="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0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4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6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0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2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6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24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4056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560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064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568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72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76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152" w:hanging="144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5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7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11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179" w:hanging="360"/>
      </w:pPr>
      <w:rPr>
        <w:rFonts w:hint="default" w:ascii="Courier New" w:hAnsi="Courier New" w:cs="Courier New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89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1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3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5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7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9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1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39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21"/>
  </w:num>
  <w:num w:numId="3">
    <w:abstractNumId w:val="8"/>
  </w:num>
  <w:num w:numId="4">
    <w:abstractNumId w:val="16"/>
  </w:num>
  <w:num w:numId="5">
    <w:abstractNumId w:val="7"/>
  </w:num>
  <w:num w:numId="6">
    <w:abstractNumId w:val="3"/>
  </w:num>
  <w:num w:numId="7">
    <w:abstractNumId w:val="12"/>
  </w:num>
  <w:num w:numId="8">
    <w:abstractNumId w:val="22"/>
  </w:num>
  <w:num w:numId="9">
    <w:abstractNumId w:val="10"/>
  </w:num>
  <w:num w:numId="10">
    <w:abstractNumId w:val="14"/>
  </w:num>
  <w:num w:numId="11">
    <w:abstractNumId w:val="15"/>
  </w:num>
  <w:num w:numId="12">
    <w:abstractNumId w:val="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7"/>
  </w:num>
  <w:num w:numId="16">
    <w:abstractNumId w:val="2"/>
  </w:num>
  <w:num w:numId="17">
    <w:abstractNumId w:val="0"/>
  </w:num>
  <w:num w:numId="18">
    <w:abstractNumId w:val="1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0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2">
    <w:name w:val="Heading 1 Char"/>
    <w:basedOn w:val="896"/>
    <w:link w:val="895"/>
    <w:uiPriority w:val="9"/>
    <w:rPr>
      <w:rFonts w:ascii="Arial" w:hAnsi="Arial" w:eastAsia="Arial" w:cs="Arial"/>
      <w:sz w:val="40"/>
      <w:szCs w:val="40"/>
    </w:rPr>
  </w:style>
  <w:style w:type="paragraph" w:styleId="723">
    <w:name w:val="Heading 2"/>
    <w:basedOn w:val="894"/>
    <w:next w:val="894"/>
    <w:link w:val="72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4">
    <w:name w:val="Heading 2 Char"/>
    <w:basedOn w:val="896"/>
    <w:link w:val="723"/>
    <w:uiPriority w:val="9"/>
    <w:rPr>
      <w:rFonts w:ascii="Arial" w:hAnsi="Arial" w:eastAsia="Arial" w:cs="Arial"/>
      <w:sz w:val="34"/>
    </w:rPr>
  </w:style>
  <w:style w:type="paragraph" w:styleId="725">
    <w:name w:val="Heading 3"/>
    <w:basedOn w:val="894"/>
    <w:next w:val="894"/>
    <w:link w:val="72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6">
    <w:name w:val="Heading 3 Char"/>
    <w:basedOn w:val="896"/>
    <w:link w:val="725"/>
    <w:uiPriority w:val="9"/>
    <w:rPr>
      <w:rFonts w:ascii="Arial" w:hAnsi="Arial" w:eastAsia="Arial" w:cs="Arial"/>
      <w:sz w:val="30"/>
      <w:szCs w:val="30"/>
    </w:rPr>
  </w:style>
  <w:style w:type="paragraph" w:styleId="727">
    <w:name w:val="Heading 4"/>
    <w:basedOn w:val="894"/>
    <w:next w:val="894"/>
    <w:link w:val="72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8">
    <w:name w:val="Heading 4 Char"/>
    <w:basedOn w:val="896"/>
    <w:link w:val="727"/>
    <w:uiPriority w:val="9"/>
    <w:rPr>
      <w:rFonts w:ascii="Arial" w:hAnsi="Arial" w:eastAsia="Arial" w:cs="Arial"/>
      <w:b/>
      <w:bCs/>
      <w:sz w:val="26"/>
      <w:szCs w:val="26"/>
    </w:rPr>
  </w:style>
  <w:style w:type="paragraph" w:styleId="729">
    <w:name w:val="Heading 5"/>
    <w:basedOn w:val="894"/>
    <w:next w:val="894"/>
    <w:link w:val="7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0">
    <w:name w:val="Heading 5 Char"/>
    <w:basedOn w:val="896"/>
    <w:link w:val="729"/>
    <w:uiPriority w:val="9"/>
    <w:rPr>
      <w:rFonts w:ascii="Arial" w:hAnsi="Arial" w:eastAsia="Arial" w:cs="Arial"/>
      <w:b/>
      <w:bCs/>
      <w:sz w:val="24"/>
      <w:szCs w:val="24"/>
    </w:rPr>
  </w:style>
  <w:style w:type="paragraph" w:styleId="731">
    <w:name w:val="Heading 6"/>
    <w:basedOn w:val="894"/>
    <w:next w:val="894"/>
    <w:link w:val="7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2">
    <w:name w:val="Heading 6 Char"/>
    <w:basedOn w:val="896"/>
    <w:link w:val="731"/>
    <w:uiPriority w:val="9"/>
    <w:rPr>
      <w:rFonts w:ascii="Arial" w:hAnsi="Arial" w:eastAsia="Arial" w:cs="Arial"/>
      <w:b/>
      <w:bCs/>
      <w:sz w:val="22"/>
      <w:szCs w:val="22"/>
    </w:rPr>
  </w:style>
  <w:style w:type="paragraph" w:styleId="733">
    <w:name w:val="Heading 7"/>
    <w:basedOn w:val="894"/>
    <w:next w:val="894"/>
    <w:link w:val="7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4">
    <w:name w:val="Heading 7 Char"/>
    <w:basedOn w:val="896"/>
    <w:link w:val="7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5">
    <w:name w:val="Heading 8"/>
    <w:basedOn w:val="894"/>
    <w:next w:val="894"/>
    <w:link w:val="7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6">
    <w:name w:val="Heading 8 Char"/>
    <w:basedOn w:val="896"/>
    <w:link w:val="735"/>
    <w:uiPriority w:val="9"/>
    <w:rPr>
      <w:rFonts w:ascii="Arial" w:hAnsi="Arial" w:eastAsia="Arial" w:cs="Arial"/>
      <w:i/>
      <w:iCs/>
      <w:sz w:val="22"/>
      <w:szCs w:val="22"/>
    </w:rPr>
  </w:style>
  <w:style w:type="paragraph" w:styleId="737">
    <w:name w:val="Heading 9"/>
    <w:basedOn w:val="894"/>
    <w:next w:val="894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8">
    <w:name w:val="Heading 9 Char"/>
    <w:basedOn w:val="896"/>
    <w:link w:val="737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No Spacing"/>
    <w:uiPriority w:val="1"/>
    <w:qFormat/>
    <w:pPr>
      <w:spacing w:before="0" w:after="0" w:line="240" w:lineRule="auto"/>
    </w:pPr>
  </w:style>
  <w:style w:type="paragraph" w:styleId="740">
    <w:name w:val="Title"/>
    <w:basedOn w:val="894"/>
    <w:next w:val="894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6"/>
    <w:link w:val="740"/>
    <w:uiPriority w:val="10"/>
    <w:rPr>
      <w:sz w:val="48"/>
      <w:szCs w:val="48"/>
    </w:rPr>
  </w:style>
  <w:style w:type="paragraph" w:styleId="742">
    <w:name w:val="Subtitle"/>
    <w:basedOn w:val="894"/>
    <w:next w:val="894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6"/>
    <w:link w:val="742"/>
    <w:uiPriority w:val="11"/>
    <w:rPr>
      <w:sz w:val="24"/>
      <w:szCs w:val="24"/>
    </w:rPr>
  </w:style>
  <w:style w:type="paragraph" w:styleId="744">
    <w:name w:val="Quote"/>
    <w:basedOn w:val="894"/>
    <w:next w:val="894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4"/>
    <w:next w:val="894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6"/>
    <w:link w:val="912"/>
    <w:uiPriority w:val="99"/>
  </w:style>
  <w:style w:type="character" w:styleId="749">
    <w:name w:val="Footer Char"/>
    <w:basedOn w:val="896"/>
    <w:link w:val="914"/>
    <w:uiPriority w:val="99"/>
  </w:style>
  <w:style w:type="paragraph" w:styleId="750">
    <w:name w:val="Caption"/>
    <w:basedOn w:val="894"/>
    <w:next w:val="8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914"/>
    <w:uiPriority w:val="99"/>
  </w:style>
  <w:style w:type="table" w:styleId="752">
    <w:name w:val="Table Grid Light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1">
    <w:name w:val="List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2">
    <w:name w:val="List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3">
    <w:name w:val="List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4">
    <w:name w:val="List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5">
    <w:name w:val="List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6">
    <w:name w:val="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8">
    <w:name w:val="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9">
    <w:name w:val="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0">
    <w:name w:val="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1">
    <w:name w:val="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2">
    <w:name w:val="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3">
    <w:name w:val="Bordered &amp; 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5">
    <w:name w:val="Bordered &amp; 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6">
    <w:name w:val="Bordered &amp; 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7">
    <w:name w:val="Bordered &amp; 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8">
    <w:name w:val="Bordered &amp; 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9">
    <w:name w:val="Bordered &amp; 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0">
    <w:name w:val="Bordered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7">
    <w:name w:val="footnote text"/>
    <w:basedOn w:val="894"/>
    <w:link w:val="878"/>
    <w:uiPriority w:val="99"/>
    <w:semiHidden/>
    <w:unhideWhenUsed/>
    <w:pPr>
      <w:spacing w:after="40" w:line="240" w:lineRule="auto"/>
    </w:pPr>
    <w:rPr>
      <w:sz w:val="18"/>
    </w:rPr>
  </w:style>
  <w:style w:type="character" w:styleId="878">
    <w:name w:val="Footnote Text Char"/>
    <w:link w:val="877"/>
    <w:uiPriority w:val="99"/>
    <w:rPr>
      <w:sz w:val="18"/>
    </w:rPr>
  </w:style>
  <w:style w:type="character" w:styleId="879">
    <w:name w:val="footnote reference"/>
    <w:basedOn w:val="896"/>
    <w:uiPriority w:val="99"/>
    <w:unhideWhenUsed/>
    <w:rPr>
      <w:vertAlign w:val="superscript"/>
    </w:rPr>
  </w:style>
  <w:style w:type="paragraph" w:styleId="880">
    <w:name w:val="endnote text"/>
    <w:basedOn w:val="894"/>
    <w:link w:val="881"/>
    <w:uiPriority w:val="99"/>
    <w:semiHidden/>
    <w:unhideWhenUsed/>
    <w:pPr>
      <w:spacing w:after="0" w:line="240" w:lineRule="auto"/>
    </w:pPr>
    <w:rPr>
      <w:sz w:val="20"/>
    </w:rPr>
  </w:style>
  <w:style w:type="character" w:styleId="881">
    <w:name w:val="Endnote Text Char"/>
    <w:link w:val="880"/>
    <w:uiPriority w:val="99"/>
    <w:rPr>
      <w:sz w:val="20"/>
    </w:rPr>
  </w:style>
  <w:style w:type="character" w:styleId="882">
    <w:name w:val="endnote reference"/>
    <w:basedOn w:val="896"/>
    <w:uiPriority w:val="99"/>
    <w:semiHidden/>
    <w:unhideWhenUsed/>
    <w:rPr>
      <w:vertAlign w:val="superscript"/>
    </w:rPr>
  </w:style>
  <w:style w:type="paragraph" w:styleId="883">
    <w:name w:val="toc 1"/>
    <w:basedOn w:val="894"/>
    <w:next w:val="894"/>
    <w:uiPriority w:val="39"/>
    <w:unhideWhenUsed/>
    <w:pPr>
      <w:ind w:left="0" w:right="0" w:firstLine="0"/>
      <w:spacing w:after="57"/>
    </w:pPr>
  </w:style>
  <w:style w:type="paragraph" w:styleId="884">
    <w:name w:val="toc 2"/>
    <w:basedOn w:val="894"/>
    <w:next w:val="894"/>
    <w:uiPriority w:val="39"/>
    <w:unhideWhenUsed/>
    <w:pPr>
      <w:ind w:left="283" w:right="0" w:firstLine="0"/>
      <w:spacing w:after="57"/>
    </w:pPr>
  </w:style>
  <w:style w:type="paragraph" w:styleId="885">
    <w:name w:val="toc 3"/>
    <w:basedOn w:val="894"/>
    <w:next w:val="894"/>
    <w:uiPriority w:val="39"/>
    <w:unhideWhenUsed/>
    <w:pPr>
      <w:ind w:left="567" w:right="0" w:firstLine="0"/>
      <w:spacing w:after="57"/>
    </w:pPr>
  </w:style>
  <w:style w:type="paragraph" w:styleId="886">
    <w:name w:val="toc 4"/>
    <w:basedOn w:val="894"/>
    <w:next w:val="894"/>
    <w:uiPriority w:val="39"/>
    <w:unhideWhenUsed/>
    <w:pPr>
      <w:ind w:left="850" w:right="0" w:firstLine="0"/>
      <w:spacing w:after="57"/>
    </w:pPr>
  </w:style>
  <w:style w:type="paragraph" w:styleId="887">
    <w:name w:val="toc 5"/>
    <w:basedOn w:val="894"/>
    <w:next w:val="894"/>
    <w:uiPriority w:val="39"/>
    <w:unhideWhenUsed/>
    <w:pPr>
      <w:ind w:left="1134" w:right="0" w:firstLine="0"/>
      <w:spacing w:after="57"/>
    </w:pPr>
  </w:style>
  <w:style w:type="paragraph" w:styleId="888">
    <w:name w:val="toc 6"/>
    <w:basedOn w:val="894"/>
    <w:next w:val="894"/>
    <w:uiPriority w:val="39"/>
    <w:unhideWhenUsed/>
    <w:pPr>
      <w:ind w:left="1417" w:right="0" w:firstLine="0"/>
      <w:spacing w:after="57"/>
    </w:pPr>
  </w:style>
  <w:style w:type="paragraph" w:styleId="889">
    <w:name w:val="toc 7"/>
    <w:basedOn w:val="894"/>
    <w:next w:val="894"/>
    <w:uiPriority w:val="39"/>
    <w:unhideWhenUsed/>
    <w:pPr>
      <w:ind w:left="1701" w:right="0" w:firstLine="0"/>
      <w:spacing w:after="57"/>
    </w:pPr>
  </w:style>
  <w:style w:type="paragraph" w:styleId="890">
    <w:name w:val="toc 8"/>
    <w:basedOn w:val="894"/>
    <w:next w:val="894"/>
    <w:uiPriority w:val="39"/>
    <w:unhideWhenUsed/>
    <w:pPr>
      <w:ind w:left="1984" w:right="0" w:firstLine="0"/>
      <w:spacing w:after="57"/>
    </w:pPr>
  </w:style>
  <w:style w:type="paragraph" w:styleId="891">
    <w:name w:val="toc 9"/>
    <w:basedOn w:val="894"/>
    <w:next w:val="894"/>
    <w:uiPriority w:val="39"/>
    <w:unhideWhenUsed/>
    <w:pPr>
      <w:ind w:left="2268" w:right="0" w:firstLine="0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894"/>
    <w:next w:val="894"/>
    <w:uiPriority w:val="99"/>
    <w:unhideWhenUsed/>
    <w:pPr>
      <w:spacing w:after="0" w:afterAutospacing="0"/>
    </w:pPr>
  </w:style>
  <w:style w:type="paragraph" w:styleId="894" w:default="1">
    <w:name w:val="Normal"/>
    <w:qFormat/>
  </w:style>
  <w:style w:type="paragraph" w:styleId="895">
    <w:name w:val="Heading 1"/>
    <w:basedOn w:val="894"/>
    <w:link w:val="916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96" w:default="1">
    <w:name w:val="Default Paragraph Font"/>
    <w:uiPriority w:val="1"/>
    <w:semiHidden/>
    <w:unhideWhenUsed/>
  </w:style>
  <w:style w:type="table" w:styleId="8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8" w:default="1">
    <w:name w:val="No List"/>
    <w:uiPriority w:val="99"/>
    <w:semiHidden/>
    <w:unhideWhenUsed/>
  </w:style>
  <w:style w:type="table" w:styleId="899">
    <w:name w:val="Table Grid"/>
    <w:basedOn w:val="897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0" w:customStyle="1">
    <w:name w:val="Сетка таблицы6"/>
    <w:basedOn w:val="897"/>
    <w:next w:val="899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1" w:customStyle="1">
    <w:name w:val="Сетка таблицы1"/>
    <w:basedOn w:val="897"/>
    <w:next w:val="8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02">
    <w:name w:val="Hyperlink"/>
    <w:basedOn w:val="896"/>
    <w:uiPriority w:val="99"/>
    <w:unhideWhenUsed/>
    <w:rPr>
      <w:color w:val="0563c1" w:themeColor="hyperlink"/>
      <w:u w:val="single"/>
    </w:rPr>
  </w:style>
  <w:style w:type="paragraph" w:styleId="903" w:customStyle="1">
    <w:name w:val="ConsPlusNormal"/>
    <w:link w:val="917"/>
    <w:qFormat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04">
    <w:name w:val="List Paragraph"/>
    <w:basedOn w:val="894"/>
    <w:uiPriority w:val="34"/>
    <w:qFormat/>
    <w:pPr>
      <w:contextualSpacing/>
      <w:ind w:left="720"/>
    </w:pPr>
  </w:style>
  <w:style w:type="character" w:styleId="905">
    <w:name w:val="FollowedHyperlink"/>
    <w:basedOn w:val="896"/>
    <w:uiPriority w:val="99"/>
    <w:semiHidden/>
    <w:unhideWhenUsed/>
    <w:rPr>
      <w:color w:val="800080"/>
      <w:u w:val="single"/>
    </w:rPr>
  </w:style>
  <w:style w:type="character" w:styleId="906" w:customStyle="1">
    <w:name w:val="Основной текст_"/>
    <w:basedOn w:val="896"/>
    <w:link w:val="907"/>
    <w:rPr>
      <w:rFonts w:ascii="Times New Roman" w:hAnsi="Times New Roman" w:eastAsia="Times New Roman" w:cs="Times New Roman"/>
      <w:shd w:val="clear" w:color="auto" w:fill="ffffff"/>
    </w:rPr>
  </w:style>
  <w:style w:type="paragraph" w:styleId="907" w:customStyle="1">
    <w:name w:val="Основной текст13"/>
    <w:basedOn w:val="894"/>
    <w:link w:val="906"/>
    <w:pPr>
      <w:ind w:hanging="620"/>
      <w:spacing w:before="780" w:after="6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character" w:styleId="908" w:customStyle="1">
    <w:name w:val="Основной текст (2)_"/>
    <w:basedOn w:val="896"/>
    <w:link w:val="909"/>
    <w:rPr>
      <w:rFonts w:ascii="Times New Roman" w:hAnsi="Times New Roman" w:eastAsia="Times New Roman" w:cs="Times New Roman"/>
      <w:shd w:val="clear" w:color="auto" w:fill="ffffff"/>
    </w:rPr>
  </w:style>
  <w:style w:type="paragraph" w:styleId="909" w:customStyle="1">
    <w:name w:val="Основной текст (2)"/>
    <w:basedOn w:val="894"/>
    <w:link w:val="908"/>
    <w:pPr>
      <w:spacing w:after="114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paragraph" w:styleId="910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11" w:customStyle="1">
    <w:name w:val="xl65"/>
    <w:basedOn w:val="894"/>
    <w:pPr>
      <w:spacing w:before="100" w:beforeAutospacing="1" w:after="100" w:afterAutospacing="1" w:line="240" w:lineRule="auto"/>
      <w:pBdr>
        <w:top w:val="single" w:color="D0D7E5" w:sz="4" w:space="0"/>
        <w:left w:val="single" w:color="D0D7E5" w:sz="4" w:space="0"/>
        <w:bottom w:val="single" w:color="D0D7E5" w:sz="4" w:space="0"/>
        <w:right w:val="single" w:color="D0D7E5" w:sz="4" w:space="0"/>
      </w:pBdr>
    </w:pPr>
    <w:rPr>
      <w:rFonts w:ascii="Calibri" w:hAnsi="Calibri" w:eastAsia="Times New Roman" w:cs="Times New Roman"/>
      <w:color w:val="000000"/>
      <w:lang w:eastAsia="ru-RU"/>
    </w:rPr>
  </w:style>
  <w:style w:type="paragraph" w:styleId="912">
    <w:name w:val="Header"/>
    <w:basedOn w:val="894"/>
    <w:link w:val="9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3" w:customStyle="1">
    <w:name w:val="Верхний колонтитул Знак"/>
    <w:basedOn w:val="896"/>
    <w:link w:val="912"/>
    <w:uiPriority w:val="99"/>
  </w:style>
  <w:style w:type="paragraph" w:styleId="914">
    <w:name w:val="Footer"/>
    <w:basedOn w:val="894"/>
    <w:link w:val="915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5" w:customStyle="1">
    <w:name w:val="Нижний колонтитул Знак"/>
    <w:basedOn w:val="896"/>
    <w:link w:val="914"/>
    <w:uiPriority w:val="99"/>
    <w:semiHidden/>
  </w:style>
  <w:style w:type="character" w:styleId="916" w:customStyle="1">
    <w:name w:val="Заголовок 1 Знак"/>
    <w:basedOn w:val="896"/>
    <w:link w:val="895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917" w:customStyle="1">
    <w:name w:val="ConsPlusNormal Знак"/>
    <w:link w:val="903"/>
    <w:rPr>
      <w:rFonts w:ascii="Calibri" w:hAnsi="Calibri" w:eastAsia="Times New Roman" w:cs="Calibri"/>
      <w:szCs w:val="20"/>
      <w:lang w:eastAsia="ru-RU"/>
    </w:rPr>
  </w:style>
  <w:style w:type="character" w:styleId="918">
    <w:name w:val="Strong"/>
    <w:uiPriority w:val="22"/>
    <w:qFormat/>
    <w:rPr>
      <w:b/>
      <w:bCs/>
    </w:rPr>
  </w:style>
  <w:style w:type="paragraph" w:styleId="919">
    <w:name w:val="Balloon Text"/>
    <w:basedOn w:val="894"/>
    <w:link w:val="92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20" w:customStyle="1">
    <w:name w:val="Текст выноски Знак"/>
    <w:basedOn w:val="896"/>
    <w:link w:val="91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pochta@minenergo.e-za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1B069-BF1B-4E77-981D-EEF00B20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pc004</dc:creator>
  <cp:revision>86</cp:revision>
  <dcterms:created xsi:type="dcterms:W3CDTF">2019-04-09T08:17:00Z</dcterms:created>
  <dcterms:modified xsi:type="dcterms:W3CDTF">2025-01-23T02:51:27Z</dcterms:modified>
</cp:coreProperties>
</file>