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»января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10 о.д.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7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1"/>
        <w:gridCol w:w="107"/>
        <w:gridCol w:w="4375"/>
      </w:tblGrid>
      <w:tr>
        <w:tblPrEx/>
        <w:trPr>
          <w:trHeight w:val="525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по осуществлению строительного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03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7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февраля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961"/>
        <w:gridCol w:w="582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Особые 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Предметом строительного контроля является проверка выполнения работ при капитальном ремонте многоквартирного дома на соответствие требованиям действующего законодательства, проектной и подготовленной на ее основе рабочей документации.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61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Строительный контроль осуществляется в соответствии с Градостроительным кодексом Российской Федерации, постановлением Правительства Российской Федерации от 21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2010 года № 468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а также иной действующей нормативной правовой базой Российской Федерации в сфере строительного контроля.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ельный контроль осуществляется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Методикой проведения строительного контроля при строительстве, реконструкции, капитальном ремонте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СДОС-04-2009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30-БНС)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1"/>
              <w:jc w:val="both"/>
              <w:spacing w:after="0" w:line="240" w:lineRule="auto"/>
              <w:tabs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осуществлению строительного контроля оказываются в соответствии следующими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30.12.2009 № 384-ФЗ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№ 261-ФЗ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27.12.2002 № 184-ФЗ «О техническом регулировании»;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22.07.2008 № 123-Ф3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61-89(р) «Реконструкция и капитальный ремонт жилых домов. Нормы проектирования»;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13-1.99 «Инструкция о составе,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разработки, согласования и утверждения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документации на капитальный ремонт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проектной документации для строительства (СПДС).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рабочей документации»;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31-110-2003 «Проектирование и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приказом Министерства энергетики Российской Федерации от 08.07.2002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76.13330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«Электротехнические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32396-2013 «Устройства вводно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для жилых и общественных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31996-2012 «Кабели силовые с пластмассовой изоляцией на номинальное напряжение 0,66; 1 и 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50345-2010 «Аппаратура малогабаритная электрическая. Автоматические выключатели для защиты от сверхтоков бытового и аналогичного назначения»;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электроустановок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приказом Министерства энергетики Российской Федерации от 13 января 2003 года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20.13330.2011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«Нагрузки и воздействия.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СНиП 2.01.07-85*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СНиП 2.03.02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«Бетонные и железобетонные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конструкции из плотно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силикатного бетона»;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СНиП 21-01-97* «Пожарная безопасность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 112.13330.2011.)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от 24 марта 2003 года №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numPr>
                <w:ilvl w:val="0"/>
                <w:numId w:val="23"/>
              </w:numPr>
              <w:ind w:left="0" w:right="-1" w:firstLine="0"/>
              <w:jc w:val="both"/>
              <w:spacing w:after="0" w:line="240" w:lineRule="auto"/>
              <w:tabs>
                <w:tab w:val="left" w:pos="238" w:leader="none"/>
                <w:tab w:val="left" w:pos="61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42-101-2003 «Общие положения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 и строительству газораспределительных систем из металлических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полиэтиленовых труб».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Данный перечень нормативных правовых актов 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Услуги должны оказываться в соответствии с прилагаемым к договору на оказании услуг по осуществлению строительного контроля графиком оказания услуг.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8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40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капитального ремонта 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оказание услуг по осуществлению строительного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 территории 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будет осуществляться в отношении объектов, указанных в ориентировочном адресном перечне, содержащемся 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составу и порядку ведения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инженерно-технического обеспечения (РД-11-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1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2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по осуществлению строительного контроля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которых в дальнейшем будет проводиться электронный аукцион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органа по ведению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902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коллегиального исполнительного органа или главного бухгалтера Участника – юридического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списочный состав сотрудников рекомендуется представить по форме, установленной в приложении № 3 к Документации о проведении предварительного отбора);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2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4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2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6)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5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6"/>
        <w:gridCol w:w="5732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7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/>
      <w:bookmarkStart w:id="0" w:name="Par0"/>
      <w:r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статьями 53 и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Строительный контроль проводится лицом, осуществляющим строительство. В случае осуществления строительства, реконструкции, капитально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ремонта на основании договора строительного подряда строительный контроль проводится также застройщиком, техническим заказчиком, лицом, ответственным за эксплуатацию здания, сооружения, или региональным оператором либо привлекаемыми ими на основании дог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овора индивидуальным предпринимателем или юридическим лицом. Застройщик или технический заказчик по своей инициативе может привлекать лицо, осуществляющее подготовку проектной документации, для проверки соответствия выполняемых работ проектной документации</w:t>
      </w:r>
      <w:r>
        <w:rPr>
          <w:rFonts w:ascii="Verdana" w:hAnsi="Verdana" w:eastAsia="Times New Roman" w:cs="Times New Roman"/>
          <w:sz w:val="21"/>
          <w:szCs w:val="21"/>
          <w:lang w:eastAsia="ru-RU"/>
        </w:rPr>
      </w:r>
      <w:r>
        <w:rPr>
          <w:rFonts w:ascii="Verdana" w:hAnsi="Verdana" w:eastAsia="Times New Roman" w:cs="Times New Roman"/>
          <w:sz w:val="21"/>
          <w:szCs w:val="21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</w:t>
      </w:r>
      <w:r>
        <w:rPr>
          <w:rFonts w:ascii="Times New Roman" w:hAnsi="Times New Roman" w:cs="Times New Roman"/>
          <w:sz w:val="24"/>
          <w:szCs w:val="24"/>
        </w:rPr>
        <w:t xml:space="preserve">у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</w:t>
      </w:r>
      <w:r>
        <w:rPr>
          <w:rFonts w:ascii="Times New Roman" w:hAnsi="Times New Roman" w:cs="Times New Roman"/>
          <w:sz w:val="24"/>
          <w:szCs w:val="24"/>
        </w:rPr>
        <w:t xml:space="preserve">лификации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</w:t>
      </w:r>
      <w:r>
        <w:rPr>
          <w:rFonts w:ascii="Times New Roman" w:hAnsi="Times New Roman" w:cs="Times New Roman"/>
          <w:sz w:val="24"/>
          <w:szCs w:val="24"/>
        </w:rPr>
        <w:t xml:space="preserve">ых обязанностей,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"/>
        <w:gridCol w:w="1370"/>
        <w:gridCol w:w="1842"/>
        <w:gridCol w:w="1415"/>
        <w:gridCol w:w="1559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7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7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-2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</w:t>
      </w:r>
      <w:r>
        <w:rPr>
          <w:rFonts w:ascii="Times New Roman" w:hAnsi="Times New Roman" w:eastAsia="Calibri" w:cs="Times New Roman"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2025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235346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5"/>
  </w:num>
  <w:num w:numId="11">
    <w:abstractNumId w:val="16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3"/>
    <w:next w:val="893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basedOn w:val="894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3"/>
    <w:next w:val="893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4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4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4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4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4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3"/>
    <w:next w:val="893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4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3"/>
    <w:next w:val="893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4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893"/>
    <w:next w:val="893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4"/>
    <w:link w:val="739"/>
    <w:uiPriority w:val="10"/>
    <w:rPr>
      <w:sz w:val="48"/>
      <w:szCs w:val="48"/>
    </w:rPr>
  </w:style>
  <w:style w:type="paragraph" w:styleId="741">
    <w:name w:val="Subtitle"/>
    <w:basedOn w:val="893"/>
    <w:next w:val="893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4"/>
    <w:link w:val="741"/>
    <w:uiPriority w:val="11"/>
    <w:rPr>
      <w:sz w:val="24"/>
      <w:szCs w:val="24"/>
    </w:rPr>
  </w:style>
  <w:style w:type="paragraph" w:styleId="743">
    <w:name w:val="Quote"/>
    <w:basedOn w:val="893"/>
    <w:next w:val="893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3"/>
    <w:next w:val="893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4"/>
    <w:link w:val="913"/>
    <w:uiPriority w:val="99"/>
  </w:style>
  <w:style w:type="character" w:styleId="748">
    <w:name w:val="Footer Char"/>
    <w:basedOn w:val="894"/>
    <w:link w:val="915"/>
    <w:uiPriority w:val="99"/>
  </w:style>
  <w:style w:type="paragraph" w:styleId="749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15"/>
    <w:uiPriority w:val="99"/>
  </w:style>
  <w:style w:type="table" w:styleId="751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4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4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table" w:styleId="897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Сетка таблицы6"/>
    <w:basedOn w:val="895"/>
    <w:next w:val="89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Сетка таблицы1"/>
    <w:basedOn w:val="895"/>
    <w:next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0">
    <w:name w:val="Hyperlink"/>
    <w:basedOn w:val="894"/>
    <w:uiPriority w:val="99"/>
    <w:unhideWhenUsed/>
    <w:rPr>
      <w:color w:val="0563c1" w:themeColor="hyperlink"/>
      <w:u w:val="single"/>
    </w:rPr>
  </w:style>
  <w:style w:type="paragraph" w:styleId="901" w:customStyle="1">
    <w:name w:val="ConsPlusNormal"/>
    <w:link w:val="918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2">
    <w:name w:val="List Paragraph"/>
    <w:basedOn w:val="893"/>
    <w:link w:val="919"/>
    <w:uiPriority w:val="34"/>
    <w:qFormat/>
    <w:pPr>
      <w:contextualSpacing/>
      <w:ind w:left="720"/>
    </w:pPr>
  </w:style>
  <w:style w:type="character" w:styleId="903">
    <w:name w:val="FollowedHyperlink"/>
    <w:basedOn w:val="894"/>
    <w:uiPriority w:val="99"/>
    <w:semiHidden/>
    <w:unhideWhenUsed/>
    <w:rPr>
      <w:color w:val="800080"/>
      <w:u w:val="single"/>
    </w:rPr>
  </w:style>
  <w:style w:type="character" w:styleId="904" w:customStyle="1">
    <w:name w:val="Гипертекстовая ссылка"/>
    <w:basedOn w:val="894"/>
    <w:uiPriority w:val="99"/>
    <w:rPr>
      <w:b/>
      <w:bCs/>
      <w:color w:val="106bbe"/>
    </w:rPr>
  </w:style>
  <w:style w:type="paragraph" w:styleId="905">
    <w:name w:val="No Spacing"/>
    <w:uiPriority w:val="1"/>
    <w:qFormat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styleId="906" w:customStyle="1">
    <w:name w:val="Основной текст_"/>
    <w:basedOn w:val="894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3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8" w:customStyle="1">
    <w:name w:val="xl65"/>
    <w:basedOn w:val="89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09">
    <w:name w:val="Strong"/>
    <w:uiPriority w:val="22"/>
    <w:qFormat/>
    <w:rPr>
      <w:b/>
      <w:bCs/>
    </w:rPr>
  </w:style>
  <w:style w:type="character" w:styleId="910" w:customStyle="1">
    <w:name w:val="Основной текст (2)_"/>
    <w:basedOn w:val="894"/>
    <w:link w:val="911"/>
    <w:rPr>
      <w:rFonts w:ascii="Times New Roman" w:hAnsi="Times New Roman" w:eastAsia="Times New Roman" w:cs="Times New Roman"/>
      <w:shd w:val="clear" w:color="auto" w:fill="ffffff"/>
    </w:rPr>
  </w:style>
  <w:style w:type="paragraph" w:styleId="911" w:customStyle="1">
    <w:name w:val="Основной текст (2)"/>
    <w:basedOn w:val="893"/>
    <w:link w:val="910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3">
    <w:name w:val="Header"/>
    <w:basedOn w:val="89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894"/>
    <w:link w:val="913"/>
    <w:uiPriority w:val="99"/>
  </w:style>
  <w:style w:type="paragraph" w:styleId="915">
    <w:name w:val="Footer"/>
    <w:basedOn w:val="893"/>
    <w:link w:val="91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894"/>
    <w:link w:val="915"/>
    <w:uiPriority w:val="99"/>
    <w:semiHidden/>
  </w:style>
  <w:style w:type="character" w:styleId="917" w:customStyle="1">
    <w:name w:val="Цветовое выделение для Нормальный"/>
    <w:uiPriority w:val="99"/>
    <w:rPr>
      <w:sz w:val="20"/>
      <w:szCs w:val="20"/>
    </w:rPr>
  </w:style>
  <w:style w:type="character" w:styleId="918" w:customStyle="1">
    <w:name w:val="ConsPlusNormal Знак"/>
    <w:link w:val="901"/>
    <w:rPr>
      <w:rFonts w:ascii="Calibri" w:hAnsi="Calibri" w:eastAsia="Times New Roman" w:cs="Calibri"/>
      <w:szCs w:val="20"/>
      <w:lang w:eastAsia="ru-RU"/>
    </w:rPr>
  </w:style>
  <w:style w:type="character" w:styleId="919" w:customStyle="1">
    <w:name w:val="Абзац списка Знак"/>
    <w:link w:val="902"/>
    <w:uiPriority w:val="34"/>
  </w:style>
  <w:style w:type="paragraph" w:styleId="920">
    <w:name w:val="Balloon Text"/>
    <w:basedOn w:val="893"/>
    <w:link w:val="9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1" w:customStyle="1">
    <w:name w:val="Текст выноски Знак"/>
    <w:basedOn w:val="894"/>
    <w:link w:val="92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69F0-14F3-481B-8451-E786577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80</cp:revision>
  <dcterms:created xsi:type="dcterms:W3CDTF">2019-04-09T08:18:00Z</dcterms:created>
  <dcterms:modified xsi:type="dcterms:W3CDTF">2025-01-23T03:32:31Z</dcterms:modified>
</cp:coreProperties>
</file>