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риказом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Министерства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жилищно-коммунального хозяйства, энергетики, цифровизации и связи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Забайкальского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края</w:t>
      </w:r>
      <w:r>
        <w:rPr>
          <w:rFonts w:ascii="Times New Roman" w:hAnsi="Times New Roman" w:cs="Times New Roman"/>
          <w:color w:val="00000a"/>
          <w:sz w:val="24"/>
          <w:szCs w:val="24"/>
        </w:rPr>
      </w:r>
      <w:r>
        <w:rPr>
          <w:rFonts w:ascii="Times New Roman" w:hAnsi="Times New Roman" w:cs="Times New Roman"/>
          <w:color w:val="00000a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</w:t>
      </w:r>
      <w:r>
        <w:rPr>
          <w:rFonts w:ascii="Times New Roman" w:hAnsi="Times New Roman" w:cs="Times New Roman"/>
          <w:sz w:val="24"/>
          <w:szCs w:val="24"/>
        </w:rPr>
        <w:t xml:space="preserve">19»</w:t>
      </w:r>
      <w:r>
        <w:rPr>
          <w:rFonts w:ascii="Times New Roman" w:hAnsi="Times New Roman" w:cs="Times New Roman"/>
          <w:sz w:val="24"/>
          <w:szCs w:val="24"/>
        </w:rPr>
        <w:t xml:space="preserve"> 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2025 г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№ 28 о.д.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70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ДОКУМЕНТАЦИЯ 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ПОДРЯДНЫ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Х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ОРГАНИЗАЦИЙ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№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1-ПО(2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).КР.20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25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для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оказание услуг и (или)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выполнение работ по капитальному ремонту общего имущества многоквартирных домов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Чита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20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5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709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Общие положения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Настоящая д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окументация о проведении предварительного отбора подрядных организаций утверждена в целях проведения предварительного отбора подрядных организаций для включения в реестр квалифицированных подрядных организаций, имеющих право принимать участие в электронных</w:t>
      </w:r>
      <w:r>
        <w:rPr>
          <w:rFonts w:ascii="Times New Roman" w:hAnsi="Times New Roman" w:eastAsia="Calibri" w:cs="Times New Roman"/>
          <w:sz w:val="24"/>
          <w:szCs w:val="24"/>
        </w:rPr>
        <w:t xml:space="preserve"> аукционах, предметом которых </w:t>
      </w:r>
      <w:r>
        <w:rPr>
          <w:rFonts w:ascii="Times New Roman" w:hAnsi="Times New Roman" w:eastAsia="Calibri" w:cs="Times New Roman"/>
          <w:sz w:val="24"/>
          <w:szCs w:val="24"/>
        </w:rPr>
        <w:t xml:space="preserve">является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оказание услуг и (или)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выполнение работ по капитальному ремонту общего имущества многоквартирных домов (далее – Документация о проведении предварительного отбора, предварительный отбор</w:t>
      </w:r>
      <w:r>
        <w:rPr>
          <w:rFonts w:ascii="Times New Roman" w:hAnsi="Times New Roman" w:eastAsia="Calibri" w:cs="Times New Roman"/>
          <w:sz w:val="24"/>
          <w:szCs w:val="24"/>
        </w:rPr>
        <w:t xml:space="preserve">, электронный аукцион</w:t>
      </w:r>
      <w:r>
        <w:rPr>
          <w:rFonts w:ascii="Times New Roman" w:hAnsi="Times New Roman" w:eastAsia="Calibri" w:cs="Times New Roman"/>
          <w:sz w:val="24"/>
          <w:szCs w:val="24"/>
        </w:rPr>
        <w:t xml:space="preserve">).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Исполнительным органом государственной власти Забайкальского края, уполномоченным на ведение реестра квалифицированных подрядных организаций (далее –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РКПО,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орган по ведению РКПО)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является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Министерство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Забайкальского края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929"/>
        <w:tblW w:w="4888" w:type="pct"/>
        <w:tblInd w:w="108" w:type="dxa"/>
        <w:shd w:val="clear" w:color="auto" w:fill="ffffff"/>
        <w:tblLook w:val="04A0" w:firstRow="1" w:lastRow="0" w:firstColumn="1" w:lastColumn="0" w:noHBand="0" w:noVBand="1"/>
      </w:tblPr>
      <w:tblGrid>
        <w:gridCol w:w="604"/>
        <w:gridCol w:w="4270"/>
        <w:gridCol w:w="107"/>
        <w:gridCol w:w="4375"/>
      </w:tblGrid>
      <w:tr>
        <w:tblPrEx/>
        <w:trPr>
          <w:trHeight w:val="922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ffffff"/>
            <w:tcW w:w="4677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Информация о проведении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977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2339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38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ыполнение работ по капитальному ремонту общего имущества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89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2339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38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1-ПО(2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).КР.20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659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ffffff"/>
            <w:tcW w:w="4677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органе по ведению РКПО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жилищно-коммунального хозяйства, энергетики,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цифровизации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связи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Забайкальского края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411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7536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176880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Место нахождения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Чита, 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672002, г. Чита, 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электронной почты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hyperlink r:id="rId11" w:tooltip="mailto:pochta@minenergo.e-zab.ru" w:history="1"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pochta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</w:rPr>
                <w:t xml:space="preserve">@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minenergo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e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</w:rPr>
                <w:t xml:space="preserve">-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zab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58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телефона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21-30-48, доб.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5591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92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Ф.И.О. контактного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Ружникова Елена Александровна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138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/>
            <w:hyperlink r:id="rId12" w:tooltip="http://zakupki.gov.ru/" w:history="1"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</w:rPr>
                <w:t xml:space="preserve">http://zakupki.gov.ru/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185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сайта оператора электронной площадки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/>
            <w:hyperlink r:id="rId13" w:tooltip="http://www.rts-tender.ru/" w:history="1">
              <w:r>
                <w:rPr>
                  <w:rStyle w:val="932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 xml:space="preserve">http://www.rts-tender.ru/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Период действия результатов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 даты внесения записи об участнике предварительного отбора в РКПО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59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начала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 марта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часов 00 минут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время местное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 апреля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часов 00 минут (время местное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окончания срока рассмотрения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 апреля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оказанию услуг и (или) выполнению работ по капитальному ремонту общего имущества в многоквартирном доме (их техническим, функциональным, качественным и иным характеристикам)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ffffff" w:themeFill="background1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ffffff" w:themeFill="background1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55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Требования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оказанию услуг и (или)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выполнению работ по капитальному ремонту общего имущества многоквартирных домов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Услуги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работы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должны удовлетворять требованиям строительных, экологических, санитарно-гигиенических, противопожарных и других норм, действующих на территории Российской Федерации.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выполнение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должн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осуществляться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 соответствии с действующими на территории Российской Федерации нормативными документами: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Градостроительный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Жилищный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от 30.12.2009 г. № 384-Ф3 «Технический регламент о безопасности зданий и сооружений»;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РФ от 22.07.2008 г. № 123-ФЗ «Технический регламент о требованиях пожарной безопасности»;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54.13330.2011 «Здания жилые многоквартирные. Актуализированная редакция СНиП 31-01-2003»;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15.13330.2012 «Каменные и армокаменные конструкции. Актуализированная редакция СНиП II-22-81*»;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63.13330.2012 «Бетонные и железобетонные конструкции. Основные положения. Актуализированная редакция СНиП 52-01-2003 (с Изменениями № 1, 2»;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64.13330.2011 «Деревянные конструкции. Актуализированная редакция СНиП II-25-80»;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70.13330.2012 «Несущие и ограждающие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конструкции. Актуализированная редакция СНиП 3.03.01-87»;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16.13330.2011 «Стальные конструкции. Актуализированная редакция СНиП II-23-81*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17.13330.2011 «Кровли. Актуализированная редакция СНиП II-26-76»;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20.13330.2011 «Нагрузки и воздействия. Актуализированная редакция СНиП 2.01.07-85*»;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22.13330.2011 «Основания зданий и сооружений. Актуализированная редакция СНиП 2.02.01-83*»;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24.13330.2011 «Свайные фундаменты. Актуализированная редакция СНиП 2.02.03-85»;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28.13330.2012 «Защита строительных конструкций от коррозии. Актуализированная редакция СНиП 2.03.11-85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30.13330.2012 «Внутренний водопровод и канализация зданий. Актуализированная редакция СНиП 2.04.01-85*»;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50.13330.2012 «Тепловая защита зданий. Актуализированная редакция СНиП 23-02-2003»;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60.13330.2012 «Отопление, вентиляция и кондиционирование воздуха. Актуализированная редакция СНиП 41-01-2003»;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62.13330.2011* «Газораспределительные системы. Актуализированная редакция СНиП 42-01-2002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131.13330.2012 «Строительная климатология. Актуализированная редакция СНиП 23-01-99* (с Изменением № 2»;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31-110-2003 «Проектирование и монтаж электроустановок жилых и общественных зданий»;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ГОСТ 31565-2012 «Кабельные изделия. 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ебования пожарной безопасности».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Данный перечень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нормативных правовых актов уточняется в документации об электронном аукционе.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47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Требования к качеству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оказываемых услуг 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выполняемых работ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Оказание услуг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ыполнение работ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должно осуществляться в полном объеме, качественно и в строгом соответс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твии с нормами и требованиями ГОСТ, СП, СНиП, СанПин, ПУЭ, НПБ, нормативных документов в области охраны и безопасности производства работ, энерго- и ресурсосбережения, а также требованиями соответствующих государственных надзорных и инспектирующих органов.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1) установка информационных щитов с указанием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наименования объекта, н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аименования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аказчика, исполнителя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услуг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работ (подрядной организации, генерального подрядч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ика), фамилии, должности и номеров телефонов ответственного производителя работ по объекту и представителя органа местного самоуправления, курирующего строительство, сроков начала и окончания работ, схемы объекта производится за счет подрядной организации;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2) ремонтные работы должны производиться в будние дни в период с 8.00 часов до 21.00 часа (по письменному согласованию с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аказчиком ремонтные работы могут проводиться в выходные и праздничные дни с учетом соответствующих требований законодательства Российской Федерации);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3) своевременное, но не реже одно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го раза в неделю, обеспечение погрузки, транспортировки и утилизации (передачи на полигон) строительного мусора за счет подрядной организации (место утилизации строительного мусора согласовывается подрядной организацией с органами местного самоуправления);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4) еженедельное (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каждый четверг) предоставление 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аказчику в электронном виде на электронную почту фотоотчета с письменными пояс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нениями о ходе выполнения работ, а также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обеспечение возможности круг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лосуточной связи представителя 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аказчика с представителем подрядной организации;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5) обеспечение за счет подрядной организации сохранности материалов, оборудования, стоянки строительной техники и другого имущества, необходимого для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оказания услуг и (или) выполнения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работ, ограждение рабочей площадки с момента начала работ до сдачи объекта в эксплуатацию.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Требования к качеству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используемых в ходе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оказания услуг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выполнения работ материалов и оборудования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оказании услуг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выполнении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должны использоваться материалы, имеющие сертификаты (сертификат соответствия, серти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фикат пожарной безопасности, санитарно-эпидемиологическое заключение), технические паспорта или другие документы, удостоверяющие качество используемых при ремонтных и монтажных работах материалов и оборудования, которые предоставляются Заказчику при сдаче.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Качество используемых материалов должно соответствовать действующим ГОСТ, ТУ.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Сроки эксплуатации оборудования – не менее указанных в паспорте завода-изготовителя.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Требования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к техническим характеристикам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используемым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в ходе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оказания услуг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ыполнения работ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материалов и оборудования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Количественные и технические характеристики используемых материалов и оборудования определяются в соответствии с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  <w:t xml:space="preserve">документацией об электронном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аукционе и договором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случае указания на товарные знаки применяемых материалов следует читать «или эквивалент».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Требование к календарному плану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оказания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и (или) выполнения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Оказание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(или) выполнение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должно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осуществляться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соответствии с прилагаемым к договору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графиком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оказания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(или) выполнения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работ.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Сведения о существенных условиях договора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 проведении капитального ремонта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которые будут в дальнейшем установлены в документации об электронном аукционе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tbl>
      <w:tblPr>
        <w:tblStyle w:val="930"/>
        <w:tblW w:w="4888" w:type="pct"/>
        <w:tblInd w:w="108" w:type="dxa"/>
        <w:tblLook w:val="04A0" w:firstRow="1" w:lastRow="0" w:firstColumn="1" w:lastColumn="0" w:noHBand="0" w:noVBand="1"/>
      </w:tblPr>
      <w:tblGrid>
        <w:gridCol w:w="568"/>
        <w:gridCol w:w="2098"/>
        <w:gridCol w:w="6690"/>
      </w:tblGrid>
      <w:tr>
        <w:tblPrEx/>
        <w:trPr>
          <w:tblHeader/>
        </w:trPr>
        <w:tc>
          <w:tcPr>
            <w:shd w:val="clear" w:color="auto" w:fill="auto"/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Условие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5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>
          <w:tblHeader/>
        </w:trPr>
        <w:tc>
          <w:tcPr>
            <w:shd w:val="clear" w:color="auto" w:fill="auto"/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5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Забайкальский фонд капитального ремонта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органы местного самоуправления и (или) государственные, муниципальные бюджетные, казенные учреждения в случаях, предусмотренных частью 4 статьи 182 Жилищного кодекса Российской Федерации, осуществляющие функции технического заказчика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будет размещен в составе документации об электронном аукционе на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выполнение работ по капитальному ремонту общего имущества многоквартирных домов.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Предметом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является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выполнение работ по капитальному ремонту общего имущества многоквартирных домов, расположенных на территории Забайкальского края.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выполнение 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абот буд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осуществл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яться в отношении объектов, указанных в ориентировочном адресном перечне, содержащемся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/>
              <w:t xml:space="preserve">в разделе IV Документации о проведении предварительного отбора и размещенном на официальном сайте Министерства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жилищно-коммунального хозяйства, энергетики, цифровизации и связи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Забайкальского края в информационно-телекоммуникационн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ой сети «Интернет» http://минэнерго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.забайкальскийкрай.рф/.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может быть увеличена по соглашению сторон в ходе его исполнения, но не более чем на 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процентов в связи с пропорциональным увеличением объема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оказания услуг и (или)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выполнения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быть снижена по соглашению сторон при уменьшении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стоимости и 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производится при соблюдении заказчиком положений, установленных частью 5 статьи 189 Жилищного кодекса Российской Федерации. Иные положения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изменению не подлежат.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990"/>
        </w:trPr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оплаты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1" w:name="Par0"/>
            <w:r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260"/>
        </w:trPr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оказания услуг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приемки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оказанных 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выполненных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Приемка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в полном объеме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согласно графику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оказания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сроки приемки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проверки соответствия качества 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работ, установленных договором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Заказчик вправе привлекать независимых экспертов.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 должен быть согласован с органом местного самоуправления, а также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необходимо предоставить Заказчику комплект исполнительной документации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оказанные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требованиям, предъявляемым к актам освидетельствования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работ, конструкций, участков сетей инженерно-технического обеспечения (РД-11-02-2006), утвержденным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Федеральной службы по экологическому, технологическому и атомному надзору от 26 декабря 2006 года № 1128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другими нормативными документами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сфере строительства 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услуг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Заказчиком в документации об электронном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аукционе в пределах территории Забайкальского края.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Обеспечение исполнения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Исполнение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обязательств по договору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обеспечивается: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а) банковс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кой гарантией, выданной банком, включенным в перечень банков, отвечающих установленным требованиям для принятия банковских гарантий в целях налогообложения, предусмотренный статьей 74.1 Налогового кодекса Российской Федерации (далее - банковская гарантия);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б) обеспечительным платежом.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Способ обеспечения исполнения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обязательств 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договор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определяется участником эле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ктронного аукциона, с которым заключается такой договор, самостоятельно из способов, предусмотренных пунктом 206 Положения о привлечении специализированной некоммерческой организацией, осуществляющей деятельность, направленную на обеспечение проведения кап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доме, утвержденном постановлением Правительства Российской Федерации 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июля 2016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615 (далее – Положение).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обеспечения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 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заказчиком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Размер обеспечения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может превышать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тридцать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процентов начальной (максимальной) цены договора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указанной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Гарантийный срок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pStyle w:val="941"/>
              <w:jc w:val="both"/>
              <w:widowControl w:val="off"/>
              <w:tabs>
                <w:tab w:val="left" w:pos="608" w:leader="none"/>
              </w:tabs>
            </w:pPr>
            <w:r>
              <w:t xml:space="preserve">Условия о гарантийном сроке определяются Заказчиком в документации об электронном аукционе.</w:t>
            </w:r>
            <w:r/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Срок предоставления гарантий на оказанные услуги и (или) выполненные работы не может быть менее 5 лет со дня подписания соответствующего акта о приемке оказанных услуг и (или) выполненных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>
          <w:trHeight w:val="1137"/>
        </w:trPr>
        <w:tc>
          <w:tcPr>
            <w:shd w:val="clear" w:color="auto" w:fill="auto"/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Ответственность Заказчика и Исполнителя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Условия договора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предусматривающие ответственность сторон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 неисполнение или ненадлежащее исполнение обязательств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такому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договору, определяются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заключения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заключается Заказчиком в соответствии с Гражданским кодексом Российской Федерации и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Порядок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определяется Заказчиком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Другие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существенные условия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Предмет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оказания услуг и (или) проведения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виды услуг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(или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не могут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зменяться в ходе его исполнения,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случаев, предусмотренных Положением.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 оказания услуг и (или) выполнения работ 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соглашению сторон могут быть продлены на период действия одного из следующих обстоятельств при наличии документов, подтверждающих такие обстоятельства: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изменение объема оказываемых услуг и (или) выполняемых работ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сторон при согласовании таких изменений собственниками помещений в многоквартирном доме, уполномоченным представителем собственников таких помещений или органами местного самоуправления в случаях, предусмотренных законодательством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недопуск собственникам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помещений в многоквартирном доме подрядной организации к оказанию услуг и (или) выполнению работ по капитальному ремонту по причинам, не связанным с неисполнением или ненадлежащим исполнением такой организацией договора о проведении капитального ремонта;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приостановка оказания услуг и (или) выполнения работ по капитальному ремонту в связи с наступлением отопительного сезона 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или) неблагоприятных погодных условий.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При исполнении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допускается перемена подрядчика, за исключением случаев, если новый подрядчик является правопреемником подрядчика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вследствие реорганизации юридического лица в порядке,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предусмотренном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Расторжение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допускается: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а) по соглашению сторон;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б) по инициативе Заказчика, в том числе в виде одностороннего расторжения договора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или подрядной организации (основания такого расторжения устанавливаются в договоре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в) по решению суда по основаниям, предусмотренным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 Заказчик вправе расторгнуть 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одностороннем порядке с взысканием причиненных убытков в следующих случаях: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а) систематическое (2 раза и более) нарушение подрядной организацией сроков</w:t>
            </w:r>
            <w:r>
              <w:t xml:space="preserve"> оказания услуг и (или)</w:t>
            </w:r>
            <w:r>
              <w:t xml:space="preserve"> выполнения работ;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б) задержка подрядной организацией начала </w:t>
            </w:r>
            <w:r>
              <w:t xml:space="preserve">оказания услуг и (или) </w:t>
            </w:r>
            <w:r>
              <w:t xml:space="preserve">выполнения работ более чем на 5 календарных дней по </w:t>
            </w:r>
            <w:r>
              <w:t xml:space="preserve">причинам, не зависящим от Заказчика или собственников помещений в многоквартирном доме;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в) неоднократное (2 раза и более в течение одного календарного месяца) несоблюдение (отступление от требований, предусмотренных договором</w:t>
            </w:r>
            <w:r>
              <w:rPr>
                <w:rFonts w:eastAsia="Calibri"/>
              </w:rPr>
              <w:t xml:space="preserve"> о проведении капитального ремонта</w:t>
            </w:r>
            <w:r>
              <w:t xml:space="preserve">, проектной документацией, стандартами, нормами и правилами, а также иными действующими нормативными правовыми актами) подрядной организацией требований к качеству </w:t>
            </w:r>
            <w:r>
              <w:t xml:space="preserve">услуг и (или) </w:t>
            </w:r>
            <w:r>
              <w:t xml:space="preserve">работ и (или) технологии проведения работ;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договора</w:t>
            </w:r>
            <w:r>
              <w:rPr>
                <w:rFonts w:eastAsia="Calibri"/>
              </w:rPr>
              <w:t xml:space="preserve"> о проведении капитального ремонта</w:t>
            </w:r>
            <w:r>
              <w:t xml:space="preserve">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д) 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</w:t>
            </w:r>
            <w:r>
              <w:t xml:space="preserve">Федерации, лишающих права подрядной организации на производство работ;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е) нарушение подрядной организацией сроков</w:t>
            </w:r>
            <w:r>
              <w:t xml:space="preserve"> оказания услуг и (или)</w:t>
            </w:r>
            <w:r>
              <w:t xml:space="preserve"> выполнения работ продолжительностью более</w:t>
            </w:r>
            <w:r>
              <w:br/>
            </w:r>
            <w:r>
              <w:t xml:space="preserve">15 календарных дней по любому из многоквартирных домов;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ж) нарушение срока замены банковской гарантии, установленного договором</w:t>
            </w:r>
            <w:r>
              <w:rPr>
                <w:rFonts w:eastAsia="Calibri"/>
              </w:rPr>
              <w:t xml:space="preserve"> о проведении капитального ремонта</w:t>
            </w:r>
            <w:r>
              <w:t xml:space="preserve">, при отзыве лицензии, банкротстве или ликвидации банка-гаранта более чем на 2 рабочих дня;</w:t>
            </w:r>
            <w:r/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з) выявление Заказчиком после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факта недействительности представленной подрядной организацией банковской гарантии (представление поддельных документов, получение от банка-гаранта опровержения выдачи банковской гарантии подрядной организации в письменной форме)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и) неисполнение обязательства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продлении срока банковской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сроков оказания услуг и (или) выполнения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Ориентировочные адресные перечни многоквартирных домов, на выполнение капитального ремонта общего имущества в которых в дальнейшем будет проводиться электронный аукцион, либо указание на сайт в сети «Интернет», где размещены указанные адресные перечни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Ориентировочные адресные перечни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Ориентировочный адресный перечень многоквартирных домов, 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оказание услуг и (или)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выполнение работ по капитальному ремонту общего имущества в которых в дальнейшем будет проводиться электронный аукцион, размещен на сайте органа по ведению РКПО 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http://мин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энерго.з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абайкальскийкрай.рф/) в разделе 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Деятельность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ое хозяйство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 / «Капитальный ремонт многоквартирных домов» / «Предварительный отбор подрядных организаций»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участникам предварительного отбора, установленные пунктом 23 Положения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57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Требования к участникам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предварительного отбора может являться юридическое лицо независимо от организационно-правовой формы или индивидуальный предприниматель, претендующие на включение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РКПО (далее – Участник).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 проведении предварительного отбора к его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частнику устанавливаются следующие требования: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членство в саморегулируемой организации в области строительства, реконструкции, капитального ремонта объектов капитального строительства.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указанное требование не применяется к участникам предварительного отбора, являющимся лицами, указанными в пункте 1 части 2.2 статьи 52 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отсутствие у Участника задолженности по уплате нал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огов, сборов и иных обязательных платежей в бюджеты бюджетной системы Российской Федерации за прошедший календарный год, за исключением случаев обжалования им задолженностей по обязательным платежам в бюджеты бюджетной системы Российской Федерации в соотве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тствии с законодательством Российской Федерации,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отсутствие у Участника за 3 года, предшествующие дате окончания срока подачи заявок на участие в предварительном отборе, контракта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договора, в том числе заключенного в соответствии с Положением, по строительству, реконструкции и (или) капитальному ремонту объектов капитального строительства, относящихся к той же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работ, что и предмет предварительного отбора, расторгнутого по решению суда или расторгнутого по требованию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одной из сторон такого контракта или договора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случае существенных нарушений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частником условий такого контракта или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г) 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д) неприостановление деятельности Участника в порядке, предусмотренном Кодексом Российской Федерации об административных правонарушениях, на дату проведения предварительного отбора;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е) отсутствие конфликта интересов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то 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чаев, при которых руководитель Заказчика, член комиссии по проведению предварительного отбора, комиссии по осуществлению закупок, должностное лицо Заказчика, осуществляющее организационное сопровождение привлечения подрядных организаций, состоят в браке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физическими лицами, являющимися выгодоприобретателями, единоличным исполнительным органом хозяйственного общества, членами коллегиального исполнительного органа хозяйственного общества, руководителем учреждения или унитарного предприятия либо иных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юридического лица -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частника либо являются близкими родственниками (родственниками по прямой восходящей и нисходящей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(родителями и детьми, дедушкой, бабушкой и внуками), полнородными и неполнородными (имеющими общих отца или мать) братьями или сестрами), усыновителями указанных физических лиц или усыновленными ими. Под выгодоприобретателями понимаются физические лица,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ладеющие напрямую или косвенно (через юридическое лицо или через несколько юридических лиц) более чем 10 (десятью) процентами голосующих акций хозяйственного общества либо долей, превышающей 10 (десять) процентов в уставном капитале хозяйственного общества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ж) неприменение в отношении Участника – физического лица либо руководителя, членов коллеги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ального исполнительного органа или главного бухгалтера Участника –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з) отсутствие сведений об Участнике в реестре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недобросовестных поставщиков (подрядчиков, исполнителей), ве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и) отсутствие сведений об Участнике в реестре недобросовестных подрядных организаций, ведение которого осуществляется федеральным органом исполнительной власти в порядке, установленном разделом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VII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Положения;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к) невозможность для Участника являться юридическим лицом, местом регистрации которого является государство или территория, включенные в утверждаемый в соответствии с подпунктом 1 пункта 3 статьи 284 Налог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в отношении юридических лиц;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л) наличие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штате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соответствующих установленным пунктом 1 части 6 статьи 55.5 Градостроительного кодекса Российской Федерации квалификационным требованиям, в количестве, установленном в приложении № 2 «Требования к минимальному количеству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квалифицированного персонала, входящего в штат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к Документации о проведении предварительного отбора, но не ниже количества, установленного пунктом 2 части 6 статьи 55.5 Градостроительного кодекса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м) наличие 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3 года, предшествующи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дате окончания срока подачи заявок на участие в предварительном отборе, опыта оказания услуг и (или) выполнения работ, аналогичных предмету проводимого предварительного отбора, не менее чем по 3 исполненным контрактам и (или) договорам, предметом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являлись строительство, реконструкция, капитальный ремонт 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являющихся объектами капитального строительства, ремонт (замена) лифтового оборудования, разработка проектной документации, в том числе по договорам, заключенным в соответствии с Положением. При этом минимальный размер стоимости оказанных 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по указанным исполненным контрактам и (или) договорам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 в приложении № 3 «Минимальный размер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работ» к Документации о проведении предварительного отбора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не более 10 процентов предельного размера обязательств по договорам строительного подряда,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которым Участником как членом саморегулируемой организации, основанной на членстве лиц, осуществляющих строительство, внесен взнос в компенсационный фонд обеспечения договорных обязательств, сформированный в соответствии с частью 2 статьи 55.16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н) отсутствие в отношении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частника решения об исключении подрядной организации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установления одного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фактов, указанных в подпунктах «з» - «к»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66 Положения, в течение года до даты рассмотрения заявок на участие в предварительном отборе комиссией по проведению предварительного отбора.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содержанию, форме и составу заявки на участие в предварительном отборе, предусмотренные пунктами 37 и 38 Положения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Требования к содержанию, форме и составу заявки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Заявку на участие в предварительном отборе (далее – Заявка) 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екомендуется подготовить и представить по форме, установленной в приложении № 1 к Документации о проведении предварительного отбора.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Заявка, а также все сведения и документы, которые входят в ее состав в соответствии с Документацией о проведении предварительного отбора, подаются через оператора электронной площадки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документа.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Заявка должна быть подписана усиленной квалифицированной электронной подписью.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Ключи усиленных квалифицированных электронных подписей должны быть созданы и выданы удостоверяющими центрами, получившими аккредитацию на соответствие треб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ованиям Федерального закона от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 апреля 2011 года № 63-ФЗ «Об электронной подписи».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4. Заявка должна содержать: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следующие сведения и документы об Участнике,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подавшем Заявку: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 наименование, сведения об организационно-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правовой форме, о месте нахождения, об адресе юридического лица,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фамилию, имя, отчество, паспортные данные, сведения о месте жительства, номер контактного телефона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 или засвидетельствованная в нотариальном порядке копия такой выписки, полученная не ранее чем за 30 календарных дней до даты подачи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аявки, –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 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индивидуальных предпринимателей или засвидетельствованная в нотариальном порядке копия такой выписки, полученная не ранее чем за 30 календарных дней до даты подачи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 учредительных документов Участника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засвидетельствованного в нотариальном порядке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государства, полученная не ранее чем за 6 месяцев до дня подачи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аявки,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иностранных лиц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документ, подтверждающий полномочия лица на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осуществление действий от имени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Участника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следующие документы, подтверждающие соответствие Участника требованиям, установленным пунктом 23 Положения: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справк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налогового органа об отсутствии задолженности по уплате налогов, сборов и иных обязательных платежей в бюджеты бюджетной системы Российской Федерации, полученная не ранее 1 января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года, в котором подается Заявка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 расчета по страховым взносам, представляемого плательщиками страховых взносов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составленн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последний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отчетный период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предшествующий дате подачи Заявки,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форме, утвержденной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уполномоченным органом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отметкой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органа о приеме или с приложением копии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подтверждающих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уполномоченным органом такого расчета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 электронного документа, копия штатного расписания, штатно-списочный состав сотрудников, копии трудовых книжек, дипломов, сертификатов, аттестатов и удостоверений, подтверждающих наличие у Участника в штате минимального количества квалифицированного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татно-списочный состав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сотрудников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рекомендуется представить по форме, установленной в приложении №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 Документации о про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ведении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 не менее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исполненных контрактов и (или) договоров, подтверждающих наличие у Участника, предусмотренного подпунктом «п»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23 Положения, опыта оказания услуг и (или) выполнения работ, аналогичных предмету проводимого предварительного отбора, в которых указаны установленный срок оказания услуг и (или) выполнения работ и их первоначальная стоимость, копии актов приемки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казанных услуг и (или) выполненных работ или иных документов по таким контрактам и (или) договорам, в которых указана их окончательная стоимость и которыми подтверждается приемка заказчиком услуг и (или) работ, оказанных и (или) выполненных в полном 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минимальный размер стоимости оказанных услуг и (или) выполненных работ по указанным исполненным контрактам и (или) договорам установлен в приложении № 3 «Минимальный размер стоимости 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работ» к Документации о проведении предварительного отбора в размере не более 10 процентов предельного размера обязательств по договорам строительного подряда, в соответствии с которым Участником как членом саморег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улируемой организации, основанной на членстве лиц, осуществляющих строительство, 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стоимости оказанных услуг и (или) выполненных работ по всем исполненным контрактам и (или) договорам, представленным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и соответствующим требованиям пункта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определяется как совокупная стоимость услуг и (или) работ по таким контрактам и (или) договорам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Обобщенные сведения о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контрактов и (или)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выполнении рекомендуется представить по форме 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Перечень контрактов и (или) договоров, подтверждающих наличие у участника предварительного отбора опыта оказания услуг и (или) выполнения работ, аналогичных предмету предварительного отбора»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(приложение № 5 к Документации о проведении предварительного отбора).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согласие на обработку персональных данных в соответствии 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пунктом 9 статьи 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 27 июля 2006 года № 152-ФЗ «О персональных данных»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каждого работника, персональные данные которого содержатся в заявке на участие в предварительном отборе.</w:t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екомендуемая форма представлена 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риложении № 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r>
          </w:p>
        </w:tc>
      </w:tr>
    </w:tbl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Порядок, дата начала срока подачи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и изменения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заявок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Порядок, дата начала срока подачи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и изменения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Взимание платы оператором электронной площадки с участников предварительного отбора и с органа по 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реестра не допускаетс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Заявка, а также все сведения и документы, которые входят в ее состав в соответствии с Положением, подаются через оператора электронной площадки в виде электронного документа.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начала сро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 подачи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аявок установлена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извещении о про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ведении предварительного отбора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(далее – извещение) и разделе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Документации о пров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едении предварительного отбора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рамках одного предмета предварительного отбора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 вправе подать только одну Заявку, пока она не рассмотрена в порядке, предусмотренном Положением, и по ней не принято решение об отказе во включении Участника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РКПО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  <w:tab w:val="left" w:pos="127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Каждая Заявка, поступившая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срок, указанный в извещении и Документации о проведении предварительного отбора,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регистрируется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оператором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электронной площадки с присвоением порядкового номера.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Заявки, поданные после даты и времени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срока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принимаются оператором электронной площадки.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изменить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Внесение изменений в Заявку осуществляется через сайт оператора электронной площадки в соответствии с регламентом работы электронной площадки. Изменения, которые вносятся в Заявку, должны быть подписаны усиленной квалифицированной электронной подписью.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аявок должен быть продлен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чтобы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на официальном сайте и сайте оператора электронной площадки изменений,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вносимых в соответствии с пунктом 21 Положения, до даты окончания срока подачи заявок на участие в предварительном отборе этот срок составлял не менее чем 10 дней.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tabs>
          <w:tab w:val="left" w:pos="709" w:leader="none"/>
        </w:tabs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и срок отзыва заявок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 и срок отзыва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отозвать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 может быть отозвана до даты и времени окончания срока подачи Заявок, указанных в извещении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разделе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«Общие положения»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Документации о 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Отзыв Заявки осуществляется через сайт оператора электронной площадки в соответствии с регламентом работы электронной площадки.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Уведомление об отзыве Заявки должно быть подписано усиленной квалифицированной электронной подписью Участника.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Форма, порядок и сроки предоставления участникам предварительного отбора разъяснений положений Документации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815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Форма, порядок и сроки предоставления участникам предварительного отбора разъяснений положений Документации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Любое заинтересованное лицо в соответствии с регламентом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аботы электронной площадки вправе направить в орган по ведению РКПО в виде электронного документа через оператора электронной площадки запрос о разъяснении Документации о проведении предварительного отбора (далее – запрос). Запрос рекомендуется направлять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форме, установленной в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риложении № 6 к Документации 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случае если запрос поступил в орган по ведению РКПО не позднее чем за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рабочих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дней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даты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аявок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установленной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извещении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раздел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«Общие положения»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Документации о проведении пре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дварительного отбора, орган по ведению РКПО в течение 3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от которого поступил запрос.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указанной документации по предварительному отбору не должно изменять ее суть.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в пункте 34 Положения запросы, поступившие позднее чем за 5 рабочих дней до даты окончания срока подачи Заявок, не принимаются оператором электронной площадки.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0" w:firstLine="709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рассмотрения заявок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Общие положения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Поступившие от Участников Заявки рассматриваются комиссией по проведению предварительного отбора подрядных организаций (далее – комиссия по проведению предварительного отбора).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проведению предварительного отбора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на соответствие требованиям,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установленным пунктом 30 Положения, ведет и оформляет необходимые протоколы по всем процедурам, проводимым в ходе осуществления предварительного отбора, рассматривает вопрос о включении (об отказе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участника предварительного отбора в реестр квалифицированных подрядных организаций и другие действия в соответствии с настоящим Положением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1"/>
              <w:ind w:firstLine="235"/>
              <w:jc w:val="both"/>
            </w:pPr>
            <w:r>
              <w:t xml:space="preserve">2. В период рассмотрения Заявок комиссия по проведению предварительного отбора: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а) осуществляет проверку Заявок на соответствие установленным требованиям;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б) проводит проверку Заявки</w:t>
            </w:r>
            <w:r>
              <w:t xml:space="preserve"> и входящих в ее состав документов на предмет объективности, достоверности, отсутствия противоречий, в том числе проводит такие проверки в срок,</w:t>
            </w:r>
            <w:r>
              <w:br/>
              <w:t xml:space="preserve">не превышающий 14 календарных дней, по заявлениям физических и (или) юридических лиц, поступившим в ее адрес или в адрес органа по ведению РКПО, о недостоверности информации, представленной Участником;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в) принимает решения по результатам проводимых проверок в случае, если они проводятся в связи с поступившими за</w:t>
            </w:r>
            <w:r>
              <w:t xml:space="preserve">явлениями, указанными в подпункте «б» настоящего пункта. При этом такое решение должно быть принято комиссией по проведению предварительного отбора до заседания, на котором будет рассматриваться вопрос о включении (об отказе во включении) Участника в РКПО.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3. На основании результатов рассмотрения Заявок комиссия по проведению предварительного отбора принимает одно из следующих решений: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а) включение Участника в РКПО;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б) отказ во включении Участника в РКПО</w:t>
            </w:r>
            <w:r>
              <w:t xml:space="preserve"> в случаях, указанных в пункте 53 Положения</w:t>
            </w:r>
            <w:r>
              <w:t xml:space="preserve">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4. Решение об отказе во включении Участника в РКПО принимается в следующих случаях: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а) несоответствие Участника требованиям, установленным пунктом 23 Положения;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б) Заявка не соответствует требованиям, установленным пунктом 38 Положения;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в) установление факта представления Участником недостоверной информации (сведений, документов) в составе Заявки.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5. В случае установления факта подачи одним Участником 2 и более Заявок при условии, что поданные ранее Заявки таким Участником не отозваны, все Заявки такого Участника не рассматриваются.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6. Результаты рассмотрения Заявок и решение вопросов, указанных в </w:t>
            </w:r>
            <w:r>
              <w:t xml:space="preserve">под</w:t>
            </w:r>
            <w:r>
              <w:t xml:space="preserve">пунктах 2 и 3 настоящего </w:t>
            </w:r>
            <w:r>
              <w:t xml:space="preserve">пункта</w:t>
            </w:r>
            <w:r>
              <w:t xml:space="preserve">, оформляются протоколом комиссии по </w:t>
            </w:r>
            <w:r>
              <w:t xml:space="preserve">проведению предварительного отбора, который подписывается всеми членами комиссии, участвующими в заседании. Прот</w:t>
            </w:r>
            <w:r>
              <w:t xml:space="preserve">окол оформляется и размещается о</w:t>
            </w:r>
            <w:r>
              <w:t xml:space="preserve">рганом по ведению РКП</w:t>
            </w:r>
            <w:r>
              <w:t xml:space="preserve">О</w:t>
            </w:r>
            <w:r>
              <w:t xml:space="preserve"> на официальном сайте и сайте оператора электронной площадки в течение 2 рабочих дней со дня его подписания.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7. В протоколе указывается информация о месте, дате и времени рассмотрения </w:t>
            </w:r>
            <w:r>
              <w:t xml:space="preserve">З</w:t>
            </w:r>
            <w:r>
              <w:t xml:space="preserve">аявок, номер предварительного отбора, наименование (для юридического лица), </w:t>
            </w:r>
            <w:r>
              <w:t xml:space="preserve">адрес электронной площадки в сети </w:t>
            </w:r>
            <w:r>
              <w:t xml:space="preserve">«</w:t>
            </w:r>
            <w:r>
              <w:t xml:space="preserve">Интернет</w:t>
            </w:r>
            <w:r>
              <w:t xml:space="preserve">»</w:t>
            </w:r>
            <w:r>
              <w:t xml:space="preserve">, на которой проводится предварительный отбор</w:t>
            </w:r>
            <w:r>
              <w:t xml:space="preserve">, фамилия, имя, отчество (при наличии) (для физического лица, зарегистрированного в качестве индивидуального предпринимателя), адрес юридического лица и электронный адрес, идентификационный номер налогоплательщика каждого </w:t>
            </w:r>
            <w:r>
              <w:t xml:space="preserve">Участника</w:t>
            </w:r>
            <w:r>
              <w:t xml:space="preserve">, наличие информации</w:t>
            </w:r>
            <w:r>
              <w:t xml:space="preserve"> и документов, </w:t>
            </w:r>
            <w:r>
              <w:t xml:space="preserve">предусмотренных Д</w:t>
            </w:r>
            <w:r>
              <w:t xml:space="preserve">окументацией о проведении предварительного отбора, состав членов комисс</w:t>
            </w:r>
            <w:r>
              <w:t xml:space="preserve">ии, участвующих в рассмотрении З</w:t>
            </w:r>
            <w:r>
              <w:t xml:space="preserve">аявок, принятые решения. При принятии комиссией по</w:t>
            </w:r>
            <w:r>
              <w:t xml:space="preserve"> проведению предварительного отбора</w:t>
            </w:r>
            <w:r>
              <w:t xml:space="preserve"> </w:t>
            </w:r>
            <w:r>
              <w:t xml:space="preserve">решения об отказе во включении У</w:t>
            </w:r>
            <w:r>
              <w:t xml:space="preserve">частника в </w:t>
            </w:r>
            <w:r>
              <w:t xml:space="preserve">РКПО</w:t>
            </w:r>
            <w:r>
              <w:t xml:space="preserve"> в протоколе указывается обоснование такого решения со ссылками на нормы Положения, которым не соответствует </w:t>
            </w:r>
            <w:r>
              <w:t xml:space="preserve">У</w:t>
            </w:r>
            <w:r>
              <w:t xml:space="preserve">частник</w:t>
            </w:r>
            <w:r>
              <w:t xml:space="preserve">, на положения Д</w:t>
            </w:r>
            <w:r>
              <w:t xml:space="preserve">окументации о проведении предварительного от</w:t>
            </w:r>
            <w:r>
              <w:t xml:space="preserve">бора, которым не соответствует Заявка этого У</w:t>
            </w:r>
            <w:r>
              <w:t xml:space="preserve">частника, на документы, подтверждающие такое несоответствие.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8.</w:t>
            </w:r>
            <w:r>
              <w:t xml:space="preserve"> При принятии комиссией по проведению предварительн</w:t>
            </w:r>
            <w:r>
              <w:t xml:space="preserve">ого отбора решения о включении У</w:t>
            </w:r>
            <w:r>
              <w:t xml:space="preserve">частника в </w:t>
            </w:r>
            <w:r>
              <w:t xml:space="preserve">РКПО</w:t>
            </w:r>
            <w:r>
              <w:t xml:space="preserve"> в протоколе указывается </w:t>
            </w:r>
            <w:r>
              <w:t xml:space="preserve">предельный размер обязательств </w:t>
            </w:r>
            <w:r>
              <w:t xml:space="preserve">У</w:t>
            </w:r>
            <w:r>
              <w:t xml:space="preserve">частника по обязательствам по договорам подряда на подготовку проектной документации, по договорам строительного подряда, заключаемым с использованием конкурентных способов заключения договоров, в соответствии с которым такой участ</w:t>
            </w:r>
            <w:r>
              <w:t xml:space="preserve">ник предварительного отбора, как член соответствующей саморегулируемой организации, внес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</w:t>
            </w:r>
            <w:r>
              <w:t xml:space="preserve">.</w:t>
            </w:r>
            <w:r/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 по ведению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РКПО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обязан осуществлять аудио- и (или) видеозаписи всех заседаний комиссии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проведению предварительного отбора. Любой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частник и (или) его представитель вправе участвовать в заседаниях комиссии и осуществлять аудио- и (или) видеозаписи заседания комиссии.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признании предварительного отбора несостоявшимся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В случае если после окончания срока подачи Заявок подана единственная Заявка или не подано ни одной такой заявки,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В случае если предварительный отбор признан несостоявшимся в связи с подачей единственной Заявки и Участник, подавший такую Заявку, соответствует требованиям, установленным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пунктом 23 Положения, то он включается в РКПО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В случае если предварительный отбор признан несостоя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вшимся на основании отсутствия 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аявок, орган по ведению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РКПО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вправе объявить процедуру предварительного отбора повторно.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по результатам рассмотрения комиссией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предварительного отбора Заявок, поданных Участниками до даты окончания срока подачи Заявок, принято решение о невключении в РКПО всех Участников или о включении в РКПО только одного Участника,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1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ЗАЯВКА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НА УЧАСТИЕ В ПРЕДВАРИТЕЛЬНОМ ОТБОРЕ ПОДРЯДНЫХ ОРГАНИЗАЦИЙ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 ИЗВЕЩЕНИЮ № _______________ ОТ __________________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«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ab/>
        <w:t xml:space="preserve">      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______________ 2</w:t>
      </w:r>
      <w:r>
        <w:rPr>
          <w:rFonts w:ascii="Times New Roman" w:hAnsi="Times New Roman" w:eastAsia="Calibri" w:cs="Times New Roman"/>
          <w:sz w:val="24"/>
          <w:szCs w:val="24"/>
        </w:rPr>
        <w:t xml:space="preserve">0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 года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Изучив условия Извещения о проведении предварительного отбора подрядных организаций № __________ от __________, и принимая установленные в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нем требования и условия,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(указывается полное наименование, организационно правовая форма участника предварительного отбора или ФИО индивидуального предпринимателя)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 лице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(указывается фамилия, имя, отчество (при наличии) представителя участника предварительного отбора – юридического лица), действующего на основании (указывается документ, на основании которого действует представитель юридического лица или физического лица)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просит рассмотреть заявку на участие в предварительном отборе подрядных организаций по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следующему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предмету электронного аукциона</w:t>
      </w:r>
      <w:r>
        <w:rPr>
          <w:rFonts w:ascii="Times New Roman" w:hAnsi="Times New Roman" w:eastAsia="Calibri" w:cs="Times New Roman"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(указывается предмет предварительного отбора) 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Документация о проведении предварительного отбора изучена в полном объеме и признана полной и достаточной для подготовки настоящей Заявки.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Настоящим гарантируем достоверность представленной информации и подтверждаем право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Министерства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Забайкальского края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получать в открытых информационных источниках, в уполномоченных органах власти информацию, уточняющую представленные нами в заявке сведения.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Сообщаем о себе следующие сведения: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а) для юридического лица: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92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 наименование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об организационно-правовой форме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нахождения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(при наличии) учредителей (ФИО учредителей / 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членов коллегиального исполнительного органа (ФИО членов коллегиального исполнительного органа / ИНН)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лица, исполняющего функции единоличного исполнительного органа участника (ФИО такого лица / 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ФИО лица, уполномоченного на осуществление действий от имени участника предварительного отбора и на подачу заявки / ИНН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б) для физического лица, зарегистрированного в качестве индивидуального предпринимателя: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92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Фамилия, имя отчество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Паспортные данные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 месте жительства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Номер контактного телефона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(указывается полное наименование и организационно-правовая форма юридического лица или Фамилия Имя Отчество (при наличии отчества) для индивидуального предпринимателя)       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 соответствие требованиям, установленным в Документации о проведении предварительного отбора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настоящей заявке на участие в предварительном отборе прилагаются документы, являющиеся неотъемлемой частью заявки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(указывается наименование участника предварительного отбора)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на участие в предварительном отборе.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Опись прилагаемых документов: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929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7295"/>
        <w:gridCol w:w="1545"/>
      </w:tblGrid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vAlign w:val="bottom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…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М.П.</w:t>
      </w: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2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МИНИМАЛЬНОМУ КОЛИЧЕСТВУ КВАЛИФИЦИРОВАННОГО ПЕРСОН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АЛА, ВХОДЯЩЕГО В ШТАТ УЧАСТНИКА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Участником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предварительного отбора должны быть соблюдены следующие требования к минимальному количеству квалифицированного персонала, входящего в штат Участника: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квалификационные требования к индивидуальным предпринимателям, а также руков</w:t>
      </w:r>
      <w:r>
        <w:rPr>
          <w:rFonts w:ascii="Times New Roman" w:hAnsi="Times New Roman" w:cs="Times New Roman"/>
          <w:sz w:val="24"/>
          <w:szCs w:val="24"/>
        </w:rPr>
        <w:t xml:space="preserve">одителям юридического лица, самостоятельно организующим строительство, реконструкцию, капитальный ремонт, снос объектов капитального строительства, - наличие высшего образования соответствующего профиля и стажа работы по специальности не менее чем пять лет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требования к наличию у индивидуального предпринимателя или юридического лица специалистов по организации строительства (главных инженеров проектов), трудовая функция </w:t>
      </w:r>
      <w:r>
        <w:rPr>
          <w:rFonts w:ascii="Times New Roman" w:hAnsi="Times New Roman" w:cs="Times New Roman"/>
          <w:sz w:val="24"/>
          <w:szCs w:val="24"/>
        </w:rPr>
        <w:t xml:space="preserve">которых включает соответственно организацию выполнения работ по строительству, реконструкции, капитальному ремонту, сносу объектов капитального строительства и сведения о которых включены в национальные реестры специалистов, предусмотренные статьей 55.5-1 </w:t>
      </w:r>
      <w:r>
        <w:rPr>
          <w:rFonts w:ascii="Times New Roman" w:hAnsi="Times New Roman" w:cs="Times New Roman"/>
          <w:sz w:val="24"/>
          <w:szCs w:val="24"/>
        </w:rPr>
        <w:t xml:space="preserve">Градостроительного к</w:t>
      </w:r>
      <w:r>
        <w:rPr>
          <w:rFonts w:ascii="Times New Roman" w:hAnsi="Times New Roman" w:cs="Times New Roman"/>
          <w:sz w:val="24"/>
          <w:szCs w:val="24"/>
        </w:rPr>
        <w:t xml:space="preserve">одекса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- не менее чем два специалиста по месту основной работы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СПРАВОЧНО (в соответствии со статьей 55.5-1 Градостроительного кодекса Российской Федерации)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Специалистом по организации строительства является физическое лицо, которое имеет право осуществлять по трудовому договору, заключенному</w:t>
      </w:r>
      <w:r>
        <w:rPr>
          <w:rFonts w:ascii="Times New Roman" w:hAnsi="Times New Roman" w:cs="Times New Roman"/>
          <w:sz w:val="24"/>
          <w:szCs w:val="24"/>
        </w:rPr>
        <w:t xml:space="preserve"> с индивидуальным предпринимателем или юридическим лицом, трудовые функции по организации выполнения работ по строительству, реконструкции, капитальному ремонту, сносу объектов капитального строительства, в том числе в должности главного инженера проекта.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должностным обязанностям специалистов по организации строительства в том числе относятся: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приемка объектов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строительства, частей объектов капитального строительства, этапов строительства, реконструкции объектов капитального строительства, приемка выполненных работ по строительству, реконструкции, капитальному ремонту, сносу объектов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подписание следующих документов: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 приемки объекта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акта, подтверждающего соответствие параметров постр</w:t>
      </w:r>
      <w:r>
        <w:rPr>
          <w:rFonts w:ascii="Times New Roman" w:hAnsi="Times New Roman" w:cs="Times New Roman"/>
          <w:sz w:val="24"/>
          <w:szCs w:val="24"/>
        </w:rPr>
        <w:t xml:space="preserve">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 о подключении (технол</w:t>
      </w:r>
      <w:r>
        <w:rPr>
          <w:rFonts w:ascii="Times New Roman" w:hAnsi="Times New Roman" w:cs="Times New Roman"/>
          <w:sz w:val="24"/>
          <w:szCs w:val="24"/>
        </w:rPr>
        <w:t xml:space="preserve">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организаций, основанных на членстве лиц, осуществляющих строительство.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высшего образования по специальности или направлению подготовки в области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стажа работы на инженерных</w:t>
      </w:r>
      <w:r>
        <w:rPr>
          <w:rFonts w:ascii="Times New Roman" w:hAnsi="Times New Roman" w:cs="Times New Roman"/>
          <w:sz w:val="24"/>
          <w:szCs w:val="24"/>
        </w:rPr>
        <w:t xml:space="preserve"> должностях не менее чем три года в организациях, выполняющих инженерные изыскания, осуществляющих подготовку проектной документации, в организациях, осуществляющих строительство, реконструкцию, капитальный ремонт, снос объектов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общего трудового стажа по профессии,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 законом</w:t>
      </w:r>
      <w:r>
        <w:rPr>
          <w:rFonts w:ascii="Times New Roman" w:hAnsi="Times New Roman" w:cs="Times New Roman"/>
          <w:sz w:val="24"/>
          <w:szCs w:val="24"/>
        </w:rPr>
        <w:t xml:space="preserve"> от 3 июля 2016 года № 238-ФЗ «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sz w:val="24"/>
          <w:szCs w:val="24"/>
        </w:rPr>
        <w:t xml:space="preserve"> независимой оценки квалификации физического лица, претендующ</w:t>
      </w:r>
      <w:r>
        <w:rPr>
          <w:rFonts w:ascii="Times New Roman" w:hAnsi="Times New Roman" w:cs="Times New Roman"/>
          <w:sz w:val="24"/>
          <w:szCs w:val="24"/>
        </w:rPr>
        <w:t xml:space="preserve">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 капитального строительства, на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установленных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не реже одного раза в пять лет прохождение в соответствии с Федеральным законом </w:t>
      </w:r>
      <w:r>
        <w:rPr>
          <w:rFonts w:ascii="Times New Roman" w:hAnsi="Times New Roman" w:cs="Times New Roman"/>
          <w:sz w:val="24"/>
          <w:szCs w:val="24"/>
        </w:rPr>
        <w:t xml:space="preserve">от 3 июля 2016 года № 238-ФЗ «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sz w:val="24"/>
          <w:szCs w:val="24"/>
        </w:rPr>
        <w:t xml:space="preserve"> независимой оценки квалификации физического лица, претендующ</w:t>
      </w:r>
      <w:r>
        <w:rPr>
          <w:rFonts w:ascii="Times New Roman" w:hAnsi="Times New Roman" w:cs="Times New Roman"/>
          <w:sz w:val="24"/>
          <w:szCs w:val="24"/>
        </w:rPr>
        <w:t xml:space="preserve">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 капитального строительства, на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установленных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документа, подтверждающ</w:t>
      </w:r>
      <w:r>
        <w:rPr>
          <w:rFonts w:ascii="Times New Roman" w:hAnsi="Times New Roman" w:cs="Times New Roman"/>
          <w:sz w:val="24"/>
          <w:szCs w:val="24"/>
        </w:rPr>
        <w:t xml:space="preserve">его право иностранного гражданина на осуществление трудовой деятельности на территории Российской Федерации, за исключением случаев, если в соответствии с федеральными законами или международными договорами Российской Федерации такой документ не требуется;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отсутствие непогашенной или неснятой судимости за совершение умышленного преступления.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cs="Times New Roman"/>
          <w:sz w:val="24"/>
          <w:szCs w:val="24"/>
          <w:highlight w:val="cyan"/>
        </w:rPr>
      </w:r>
      <w:r>
        <w:rPr>
          <w:rFonts w:ascii="Times New Roman" w:hAnsi="Times New Roman" w:cs="Times New Roman"/>
          <w:sz w:val="24"/>
          <w:szCs w:val="24"/>
          <w:highlight w:val="cyan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eastAsia="Calibri" w:cs="Times New Roman"/>
          <w:sz w:val="24"/>
          <w:szCs w:val="24"/>
        </w:rPr>
        <w:t xml:space="preserve">3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МИНИМАЛЬНЫЙ РАЗМЕР СТОИМОСТИ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ОКАЗАННЫХ УСЛУГ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И (ИЛИ)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ВЫПОЛНЕННЫХ РАБОТ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Style w:val="929"/>
        <w:tblW w:w="9494" w:type="dxa"/>
        <w:jc w:val="center"/>
        <w:tblLook w:val="04A0" w:firstRow="1" w:lastRow="0" w:firstColumn="1" w:lastColumn="0" w:noHBand="0" w:noVBand="1"/>
      </w:tblPr>
      <w:tblGrid>
        <w:gridCol w:w="564"/>
        <w:gridCol w:w="5318"/>
        <w:gridCol w:w="3612"/>
      </w:tblGrid>
      <w:tr>
        <w:tblPrEx/>
        <w:trPr>
          <w:jc w:val="center"/>
          <w:trHeight w:val="3552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  <w:jc w:val="center"/>
              <w:rPr>
                <w:highlight w:val="cyan"/>
              </w:rPr>
            </w:pPr>
            <w:r>
              <w:t xml:space="preserve">№ п/п</w:t>
            </w:r>
            <w:r>
              <w:rPr>
                <w:highlight w:val="cyan"/>
              </w:rPr>
            </w:r>
            <w:r>
              <w:rPr>
                <w:highlight w:val="cyan"/>
              </w:rPr>
            </w:r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размер обязательств по договорам строительного подряда, в соответствии с которым Участником как членом саморе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гулируемой организации, основанной на членстве лиц, осуществляющих строительство, 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41"/>
              <w:jc w:val="center"/>
              <w:rPr>
                <w:highlight w:val="cyan"/>
              </w:rPr>
            </w:pPr>
            <w:r>
              <w:t xml:space="preserve">Минимальный размер сто</w:t>
            </w:r>
            <w:r>
              <w:t xml:space="preserve">имост</w:t>
            </w:r>
            <w:r>
              <w:t xml:space="preserve">и</w:t>
            </w:r>
            <w:r>
              <w:t xml:space="preserve"> </w:t>
            </w:r>
            <w:r>
              <w:t xml:space="preserve">оказанных услуг </w:t>
            </w:r>
            <w:r>
              <w:t xml:space="preserve">и (или) </w:t>
            </w:r>
            <w:r>
              <w:t xml:space="preserve">выполненных </w:t>
            </w:r>
            <w:r>
              <w:t xml:space="preserve">р</w:t>
            </w:r>
            <w:r>
              <w:t xml:space="preserve">абот</w:t>
            </w:r>
            <w:r>
              <w:t xml:space="preserve"> по исполненным контрактам и (или) договорам</w:t>
            </w:r>
            <w:r>
              <w:t xml:space="preserve">*</w:t>
            </w:r>
            <w:r>
              <w:rPr>
                <w:highlight w:val="cyan"/>
              </w:rPr>
            </w:r>
            <w:r>
              <w:rPr>
                <w:highlight w:val="cyan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1</w:t>
            </w:r>
            <w:r/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миллионов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(первый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1,66</w:t>
            </w:r>
            <w:r>
              <w:t xml:space="preserve"> % от предельного размера обязательств</w:t>
            </w:r>
            <w:r/>
          </w:p>
        </w:tc>
      </w:tr>
      <w:tr>
        <w:tblPrEx/>
        <w:trPr>
          <w:jc w:val="center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2</w:t>
            </w:r>
            <w:r/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не превышает 500 миллионов рублей</w:t>
            </w:r>
            <w:r/>
          </w:p>
          <w:p>
            <w:pPr>
              <w:pStyle w:val="941"/>
            </w:pPr>
            <w:r>
              <w:t xml:space="preserve">(второй уровень ответственности члена саморегулируемой организации)</w:t>
            </w:r>
            <w:r/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0,3</w:t>
            </w:r>
            <w:r>
              <w:t xml:space="preserve"> % от предельного размера обязательств</w:t>
            </w:r>
            <w:r/>
          </w:p>
        </w:tc>
      </w:tr>
      <w:tr>
        <w:tblPrEx/>
        <w:trPr>
          <w:jc w:val="center"/>
          <w:trHeight w:val="437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3</w:t>
            </w:r>
            <w:r/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не превышает 3 миллиарда рублей</w:t>
            </w:r>
            <w:r/>
          </w:p>
          <w:p>
            <w:pPr>
              <w:pStyle w:val="941"/>
            </w:pPr>
            <w:r>
              <w:t xml:space="preserve">(третий уровень ответственности члена саморегулируемой организации)</w:t>
            </w:r>
            <w:r/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0,05</w:t>
            </w:r>
            <w:r>
              <w:t xml:space="preserve"> % от предельного размера обязательств</w:t>
            </w:r>
            <w:r/>
          </w:p>
        </w:tc>
      </w:tr>
      <w:tr>
        <w:tblPrEx/>
        <w:trPr>
          <w:jc w:val="center"/>
          <w:trHeight w:val="437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4</w:t>
            </w:r>
            <w:r/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10 миллиардов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(четвертый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vMerge w:val="restart"/>
            <w:textDirection w:val="lrTb"/>
            <w:noWrap w:val="false"/>
          </w:tcPr>
          <w:p>
            <w:pPr>
              <w:pStyle w:val="941"/>
            </w:pPr>
            <w:r>
              <w:t xml:space="preserve">0,015</w:t>
            </w:r>
            <w:r>
              <w:t xml:space="preserve"> </w:t>
            </w:r>
            <w:r>
              <w:t xml:space="preserve">% от предельного размера обязательств</w:t>
            </w:r>
            <w:r/>
          </w:p>
        </w:tc>
      </w:tr>
      <w:tr>
        <w:tblPrEx/>
        <w:trPr>
          <w:jc w:val="center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5.</w:t>
            </w:r>
            <w:r/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10 миллиардов рублей и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(пятый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Merge w:val="continue"/>
            <w:textDirection w:val="lrTb"/>
            <w:noWrap w:val="false"/>
          </w:tcPr>
          <w:p>
            <w:pPr>
              <w:pStyle w:val="941"/>
              <w:rPr>
                <w:highlight w:val="cyan"/>
              </w:rPr>
            </w:pPr>
            <w:r>
              <w:rPr>
                <w:highlight w:val="cyan"/>
              </w:rPr>
            </w:r>
            <w:r>
              <w:rPr>
                <w:highlight w:val="cyan"/>
              </w:rPr>
            </w:r>
            <w:r>
              <w:rPr>
                <w:highlight w:val="cyan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 Размер стоимости оказанных услуг и (или) выполненных работ по всем исполненным контрактам и (или) договорам, представленным Участником и соответствующим требованиям пункта 23</w:t>
      </w:r>
      <w:r>
        <w:rPr>
          <w:rFonts w:ascii="Times New Roman" w:hAnsi="Times New Roman" w:cs="Times New Roman"/>
          <w:sz w:val="24"/>
          <w:szCs w:val="24"/>
        </w:rPr>
        <w:t xml:space="preserve"> Положения</w:t>
      </w:r>
      <w:r>
        <w:rPr>
          <w:rFonts w:ascii="Times New Roman" w:hAnsi="Times New Roman" w:cs="Times New Roman"/>
          <w:sz w:val="24"/>
          <w:szCs w:val="24"/>
        </w:rPr>
        <w:t xml:space="preserve">, определяется как совокупная стоимость услуг и (или) работ по таким контрактам и (или) договорам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4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ШТАТНО-СПИСОЧНЫЙ СОСТАВ СОТРУДНИКОВ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Участник предварительного отбора подрядных организаций: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u w:val="single"/>
          <w:lang w:eastAsia="ru-RU"/>
        </w:rPr>
        <w:t xml:space="preserve">(указывается полное наименование и организационно правовая форма для юридического лица или Ф.И.О. (при наличии отчества) для индивидуального предпринимателя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  <w:t xml:space="preserve"> .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"/>
        <w:gridCol w:w="1398"/>
        <w:gridCol w:w="1843"/>
        <w:gridCol w:w="1136"/>
        <w:gridCol w:w="1647"/>
        <w:gridCol w:w="1326"/>
        <w:gridCol w:w="1740"/>
      </w:tblGrid>
      <w:tr>
        <w:tblPrEx/>
        <w:trPr/>
        <w:tc>
          <w:tcPr>
            <w:shd w:val="clear" w:color="auto" w:fill="auto"/>
            <w:tcW w:w="18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41" w:type="pct"/>
            <w:vAlign w:val="center"/>
            <w:textDirection w:val="lrTb"/>
            <w:noWrap w:val="false"/>
          </w:tcPr>
          <w:p>
            <w:pPr>
              <w:ind w:left="168" w:right="79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Фамилия, имя, отчество сотрудника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77" w:type="pct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Идентификационный номер в Национальном реестре специалистов в области строительства (НОСТРОЙ)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02" w:type="pct"/>
            <w:vAlign w:val="center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Должность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73" w:type="pct"/>
            <w:vAlign w:val="center"/>
            <w:textDirection w:val="lrTb"/>
            <w:noWrap w:val="false"/>
          </w:tcPr>
          <w:p>
            <w:pPr>
              <w:ind w:left="51" w:right="6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Образование, специальность (по диплому)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03" w:type="pct"/>
            <w:vAlign w:val="center"/>
            <w:textDirection w:val="lrTb"/>
            <w:noWrap w:val="false"/>
          </w:tcPr>
          <w:p>
            <w:pPr>
              <w:ind w:left="71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Стаж работы по специальности, лет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2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сертификатов, аттестатов и удостоверений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подтверждающих квалификацию сотрудника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W w:w="182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41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77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60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87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0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82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41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77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60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87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0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82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41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77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60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87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0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right="-37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numPr>
          <w:ilvl w:val="0"/>
          <w:numId w:val="26"/>
        </w:numPr>
        <w:ind w:left="0" w:firstLine="0"/>
        <w:jc w:val="both"/>
        <w:spacing w:after="0" w:line="240" w:lineRule="auto"/>
        <w:widowControl w:val="off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5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ПЕРЕЧЕНЬ КОНТРАКТОВ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И (ИЛИ) ДОГОВОРОВ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ПОДТВЕРЖДАЮЩИХ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НАЛИЧИЕ У УЧАСТНИКА ПРЕДВАРИТЕЛЬНОГО ОТБОРА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ОПЫТ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А ОКАЗАНИЯ УСЛУГ И (ИЛИ) ВЫПОЛНЕНИЯ РАБОТ, АНАЛОГИЧНЫХ ПРЕДМЕТУ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tbl>
      <w:tblPr>
        <w:tblStyle w:val="929"/>
        <w:tblW w:w="5000" w:type="pct"/>
        <w:tblLayout w:type="fixed"/>
        <w:tblLook w:val="04A0" w:firstRow="1" w:lastRow="0" w:firstColumn="1" w:lastColumn="0" w:noHBand="0" w:noVBand="1"/>
      </w:tblPr>
      <w:tblGrid>
        <w:gridCol w:w="434"/>
        <w:gridCol w:w="954"/>
        <w:gridCol w:w="1418"/>
        <w:gridCol w:w="1131"/>
        <w:gridCol w:w="1133"/>
        <w:gridCol w:w="1416"/>
        <w:gridCol w:w="1277"/>
        <w:gridCol w:w="1807"/>
      </w:tblGrid>
      <w:tr>
        <w:tblPrEx/>
        <w:trPr>
          <w:trHeight w:val="2622"/>
        </w:trPr>
        <w:tc>
          <w:tcPr>
            <w:tcW w:w="22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49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заключения и номер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Предмет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(объект (объекты), в отношении которого (которых) оказаны услуги и (или) выполнены работы)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Установленный срок оказания услуг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Первоначальная стоимость услуг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и номер актов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выполненных работ по контракту и (или) договору или иных документов, подтверждающих приемку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66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Окончательная стоимость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 (согласно актам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ыполненных работ),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4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Наличие подтверждения приемки заказчиком услуг и (или) работ по контракту и (или) договору, оказанных и (или) выполненных в полном объеме (наличие/отсутствие подписи заказчика о приемке)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6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ЗАПРОС О РАЗЪЯСНЕНИИ ДОКУМЕНТАЦИИ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Руководствуясь пунктом 34 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</w:t>
      </w:r>
      <w:r>
        <w:rPr>
          <w:rFonts w:ascii="Times New Roman" w:hAnsi="Times New Roman" w:eastAsia="Calibri" w:cs="Times New Roman"/>
          <w:sz w:val="24"/>
          <w:szCs w:val="24"/>
        </w:rPr>
        <w:t xml:space="preserve">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утвержденное Постановлением Правительства Российской Федерации от 1 июля 2016 года № 615, просим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дать</w:t>
      </w:r>
      <w:r>
        <w:rPr>
          <w:rFonts w:ascii="Times New Roman" w:hAnsi="Times New Roman" w:eastAsia="Calibri" w:cs="Times New Roman"/>
          <w:sz w:val="24"/>
          <w:szCs w:val="24"/>
        </w:rPr>
        <w:t xml:space="preserve"> разъяснения следующих положений Документации о проведении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предварительного отбора № </w:t>
      </w:r>
      <w:r>
        <w:rPr>
          <w:rFonts w:ascii="Times New Roman" w:hAnsi="Times New Roman" w:eastAsia="Calibri" w:cs="Times New Roman"/>
          <w:sz w:val="24"/>
          <w:szCs w:val="24"/>
        </w:rPr>
        <w:t xml:space="preserve">1-ПО(</w:t>
      </w:r>
      <w:r>
        <w:rPr>
          <w:rFonts w:ascii="Times New Roman" w:hAnsi="Times New Roman" w:eastAsia="Calibri" w:cs="Times New Roman"/>
          <w:sz w:val="24"/>
          <w:szCs w:val="24"/>
        </w:rPr>
        <w:t xml:space="preserve">2).КР.20</w:t>
      </w:r>
      <w:r>
        <w:rPr>
          <w:rFonts w:ascii="Times New Roman" w:hAnsi="Times New Roman" w:eastAsia="Calibri" w:cs="Times New Roman"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sz w:val="24"/>
          <w:szCs w:val="24"/>
        </w:rPr>
        <w:t xml:space="preserve">5: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_____________________________________________________________________________________________________2._________________________________________________________________________________________________________________________________________________________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М.П.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firstLine="709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7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before="260"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СОГЛАСИЕ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на обработку персональных данных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Я, _________________________________________________________________________,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(фамилия, имя, отчество (при наличии))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в соответствии с п. 4 ст. 9 Федерального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закона от 27.07.2006  № 152-ФЗ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«О персональных данных», зарегистрирован(а)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по адресу:_____________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документ, удостоверяющий личность: 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(наименование документа, номер, сведения о дате выдачи документа и выдавшем его органе)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в целях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передачи документов 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_________________________,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(указать наименование организации)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располож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енному по адресу: 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(указать адрес организации)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содержащих мои персональные данные, в составе заявки на участие в предварительном отборе подрядных организаций для включения в реестр квалифицированных подрядных организаций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даю согласие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Министерству жилищно-коммунального хозяйства, энергетики, цифровизации и связи Забайкальского края, находящемуся по адресу: Забайкальский край, г. Чита, ул. Чкалова, д. 136, на обработ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ку моих персональных данных (фамилия, имя, отчество (при наличии), адрес регистрации, образование, профессия, а также иной информации, относящейся ко мне), то есть на совершение действий, предусмотренных п. 3 ст. 3 Федерального закона от 27 июля 2006 года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br/>
        <w:t xml:space="preserve">№ 152-ФЗ «О персональных данных».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Настоящее согласие действует со дня его подписания до дня отзыва в письменной форме.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"___"______________ 2025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Субъект персональных данных: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__________________/_________________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(подпись)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(Ф.И.О.)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3133233"/>
      <w:docPartObj>
        <w:docPartGallery w:val="Page Numbers (Top of Page)"/>
        <w:docPartUnique w:val="true"/>
      </w:docPartObj>
      <w:rPr/>
    </w:sdtPr>
    <w:sdtContent>
      <w:p>
        <w:pPr>
          <w:pStyle w:val="936"/>
          <w:jc w:val="center"/>
          <w:spacing w:after="12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55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7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4"/>
      <w:numFmt w:val="upperRoman"/>
      <w:isLgl w:val="false"/>
      <w:suff w:val="tab"/>
      <w:lvlText w:val="%1."/>
      <w:lvlJc w:val="left"/>
      <w:pPr>
        <w:ind w:hanging="387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hanging="240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67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0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4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6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0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2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6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24" w:hanging="432"/>
      </w:pPr>
      <w:rPr>
        <w:i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056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560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064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568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72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76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152" w:hanging="144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4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-"/>
      <w:lvlJc w:val="left"/>
      <w:pPr>
        <w:ind w:hanging="183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336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51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25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7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11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5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4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44" w:hanging="384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327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4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isLgl w:val="false"/>
      <w:suff w:val="tab"/>
      <w:lvlText w:val="%1.%2"/>
      <w:lvlJc w:val="left"/>
      <w:pPr>
        <w:ind w:hanging="361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36"/>
  </w:num>
  <w:num w:numId="3">
    <w:abstractNumId w:val="15"/>
  </w:num>
  <w:num w:numId="4">
    <w:abstractNumId w:val="31"/>
  </w:num>
  <w:num w:numId="5">
    <w:abstractNumId w:val="14"/>
  </w:num>
  <w:num w:numId="6">
    <w:abstractNumId w:val="5"/>
  </w:num>
  <w:num w:numId="7">
    <w:abstractNumId w:val="24"/>
  </w:num>
  <w:num w:numId="8">
    <w:abstractNumId w:val="38"/>
  </w:num>
  <w:num w:numId="9">
    <w:abstractNumId w:val="20"/>
  </w:num>
  <w:num w:numId="10">
    <w:abstractNumId w:val="28"/>
  </w:num>
  <w:num w:numId="11">
    <w:abstractNumId w:val="30"/>
  </w:num>
  <w:num w:numId="12">
    <w:abstractNumId w:val="1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0"/>
  </w:num>
  <w:num w:numId="20">
    <w:abstractNumId w:val="13"/>
  </w:num>
  <w:num w:numId="21">
    <w:abstractNumId w:val="32"/>
  </w:num>
  <w:num w:numId="22">
    <w:abstractNumId w:val="27"/>
  </w:num>
  <w:num w:numId="23">
    <w:abstractNumId w:val="39"/>
  </w:num>
  <w:num w:numId="24">
    <w:abstractNumId w:val="1"/>
  </w:num>
  <w:num w:numId="25">
    <w:abstractNumId w:val="4"/>
  </w:num>
  <w:num w:numId="26">
    <w:abstractNumId w:val="33"/>
  </w:num>
  <w:num w:numId="27">
    <w:abstractNumId w:val="12"/>
  </w:num>
  <w:num w:numId="28">
    <w:abstractNumId w:val="16"/>
  </w:num>
  <w:num w:numId="29">
    <w:abstractNumId w:val="23"/>
  </w:num>
  <w:num w:numId="30">
    <w:abstractNumId w:val="22"/>
  </w:num>
  <w:num w:numId="31">
    <w:abstractNumId w:val="7"/>
  </w:num>
  <w:num w:numId="32">
    <w:abstractNumId w:val="3"/>
  </w:num>
  <w:num w:numId="33">
    <w:abstractNumId w:val="34"/>
  </w:num>
  <w:num w:numId="34">
    <w:abstractNumId w:val="17"/>
  </w:num>
  <w:num w:numId="35">
    <w:abstractNumId w:val="9"/>
  </w:num>
  <w:num w:numId="36">
    <w:abstractNumId w:val="37"/>
  </w:num>
  <w:num w:numId="37">
    <w:abstractNumId w:val="8"/>
  </w:num>
  <w:num w:numId="38">
    <w:abstractNumId w:val="0"/>
  </w:num>
  <w:num w:numId="39">
    <w:abstractNumId w:val="11"/>
  </w:num>
  <w:num w:numId="40">
    <w:abstractNumId w:val="35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7">
    <w:name w:val="Heading 1 Char"/>
    <w:basedOn w:val="926"/>
    <w:link w:val="924"/>
    <w:uiPriority w:val="9"/>
    <w:rPr>
      <w:rFonts w:ascii="Arial" w:hAnsi="Arial" w:eastAsia="Arial" w:cs="Arial"/>
      <w:sz w:val="40"/>
      <w:szCs w:val="40"/>
    </w:rPr>
  </w:style>
  <w:style w:type="character" w:styleId="758">
    <w:name w:val="Heading 2 Char"/>
    <w:basedOn w:val="926"/>
    <w:link w:val="925"/>
    <w:uiPriority w:val="9"/>
    <w:rPr>
      <w:rFonts w:ascii="Arial" w:hAnsi="Arial" w:eastAsia="Arial" w:cs="Arial"/>
      <w:sz w:val="34"/>
    </w:rPr>
  </w:style>
  <w:style w:type="paragraph" w:styleId="759">
    <w:name w:val="Heading 3"/>
    <w:basedOn w:val="923"/>
    <w:next w:val="923"/>
    <w:link w:val="7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0">
    <w:name w:val="Heading 3 Char"/>
    <w:basedOn w:val="926"/>
    <w:link w:val="759"/>
    <w:uiPriority w:val="9"/>
    <w:rPr>
      <w:rFonts w:ascii="Arial" w:hAnsi="Arial" w:eastAsia="Arial" w:cs="Arial"/>
      <w:sz w:val="30"/>
      <w:szCs w:val="30"/>
    </w:rPr>
  </w:style>
  <w:style w:type="paragraph" w:styleId="761">
    <w:name w:val="Heading 4"/>
    <w:basedOn w:val="923"/>
    <w:next w:val="923"/>
    <w:link w:val="7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2">
    <w:name w:val="Heading 4 Char"/>
    <w:basedOn w:val="926"/>
    <w:link w:val="761"/>
    <w:uiPriority w:val="9"/>
    <w:rPr>
      <w:rFonts w:ascii="Arial" w:hAnsi="Arial" w:eastAsia="Arial" w:cs="Arial"/>
      <w:b/>
      <w:bCs/>
      <w:sz w:val="26"/>
      <w:szCs w:val="26"/>
    </w:rPr>
  </w:style>
  <w:style w:type="paragraph" w:styleId="763">
    <w:name w:val="Heading 5"/>
    <w:basedOn w:val="923"/>
    <w:next w:val="923"/>
    <w:link w:val="7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4">
    <w:name w:val="Heading 5 Char"/>
    <w:basedOn w:val="926"/>
    <w:link w:val="763"/>
    <w:uiPriority w:val="9"/>
    <w:rPr>
      <w:rFonts w:ascii="Arial" w:hAnsi="Arial" w:eastAsia="Arial" w:cs="Arial"/>
      <w:b/>
      <w:bCs/>
      <w:sz w:val="24"/>
      <w:szCs w:val="24"/>
    </w:rPr>
  </w:style>
  <w:style w:type="paragraph" w:styleId="765">
    <w:name w:val="Heading 6"/>
    <w:basedOn w:val="923"/>
    <w:next w:val="923"/>
    <w:link w:val="7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6">
    <w:name w:val="Heading 6 Char"/>
    <w:basedOn w:val="926"/>
    <w:link w:val="765"/>
    <w:uiPriority w:val="9"/>
    <w:rPr>
      <w:rFonts w:ascii="Arial" w:hAnsi="Arial" w:eastAsia="Arial" w:cs="Arial"/>
      <w:b/>
      <w:bCs/>
      <w:sz w:val="22"/>
      <w:szCs w:val="22"/>
    </w:rPr>
  </w:style>
  <w:style w:type="paragraph" w:styleId="767">
    <w:name w:val="Heading 7"/>
    <w:basedOn w:val="923"/>
    <w:next w:val="923"/>
    <w:link w:val="7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8">
    <w:name w:val="Heading 7 Char"/>
    <w:basedOn w:val="926"/>
    <w:link w:val="7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9">
    <w:name w:val="Heading 8"/>
    <w:basedOn w:val="923"/>
    <w:next w:val="923"/>
    <w:link w:val="7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0">
    <w:name w:val="Heading 8 Char"/>
    <w:basedOn w:val="926"/>
    <w:link w:val="769"/>
    <w:uiPriority w:val="9"/>
    <w:rPr>
      <w:rFonts w:ascii="Arial" w:hAnsi="Arial" w:eastAsia="Arial" w:cs="Arial"/>
      <w:i/>
      <w:iCs/>
      <w:sz w:val="22"/>
      <w:szCs w:val="22"/>
    </w:rPr>
  </w:style>
  <w:style w:type="paragraph" w:styleId="771">
    <w:name w:val="Heading 9"/>
    <w:basedOn w:val="923"/>
    <w:next w:val="923"/>
    <w:link w:val="7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2">
    <w:name w:val="Heading 9 Char"/>
    <w:basedOn w:val="926"/>
    <w:link w:val="771"/>
    <w:uiPriority w:val="9"/>
    <w:rPr>
      <w:rFonts w:ascii="Arial" w:hAnsi="Arial" w:eastAsia="Arial" w:cs="Arial"/>
      <w:i/>
      <w:iCs/>
      <w:sz w:val="21"/>
      <w:szCs w:val="21"/>
    </w:rPr>
  </w:style>
  <w:style w:type="paragraph" w:styleId="773">
    <w:name w:val="Title"/>
    <w:basedOn w:val="923"/>
    <w:next w:val="923"/>
    <w:link w:val="7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4">
    <w:name w:val="Title Char"/>
    <w:basedOn w:val="926"/>
    <w:link w:val="773"/>
    <w:uiPriority w:val="10"/>
    <w:rPr>
      <w:sz w:val="48"/>
      <w:szCs w:val="48"/>
    </w:rPr>
  </w:style>
  <w:style w:type="paragraph" w:styleId="775">
    <w:name w:val="Subtitle"/>
    <w:basedOn w:val="923"/>
    <w:next w:val="923"/>
    <w:link w:val="776"/>
    <w:uiPriority w:val="11"/>
    <w:qFormat/>
    <w:pPr>
      <w:spacing w:before="200" w:after="200"/>
    </w:pPr>
    <w:rPr>
      <w:sz w:val="24"/>
      <w:szCs w:val="24"/>
    </w:rPr>
  </w:style>
  <w:style w:type="character" w:styleId="776">
    <w:name w:val="Subtitle Char"/>
    <w:basedOn w:val="926"/>
    <w:link w:val="775"/>
    <w:uiPriority w:val="11"/>
    <w:rPr>
      <w:sz w:val="24"/>
      <w:szCs w:val="24"/>
    </w:rPr>
  </w:style>
  <w:style w:type="paragraph" w:styleId="777">
    <w:name w:val="Quote"/>
    <w:basedOn w:val="923"/>
    <w:next w:val="923"/>
    <w:link w:val="778"/>
    <w:uiPriority w:val="29"/>
    <w:qFormat/>
    <w:pPr>
      <w:ind w:left="720" w:right="720"/>
    </w:pPr>
    <w:rPr>
      <w:i/>
    </w:rPr>
  </w:style>
  <w:style w:type="character" w:styleId="778">
    <w:name w:val="Quote Char"/>
    <w:link w:val="777"/>
    <w:uiPriority w:val="29"/>
    <w:rPr>
      <w:i/>
    </w:rPr>
  </w:style>
  <w:style w:type="paragraph" w:styleId="779">
    <w:name w:val="Intense Quote"/>
    <w:basedOn w:val="923"/>
    <w:next w:val="923"/>
    <w:link w:val="7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0">
    <w:name w:val="Intense Quote Char"/>
    <w:link w:val="779"/>
    <w:uiPriority w:val="30"/>
    <w:rPr>
      <w:i/>
    </w:rPr>
  </w:style>
  <w:style w:type="character" w:styleId="781">
    <w:name w:val="Header Char"/>
    <w:basedOn w:val="926"/>
    <w:link w:val="936"/>
    <w:uiPriority w:val="99"/>
  </w:style>
  <w:style w:type="character" w:styleId="782">
    <w:name w:val="Footer Char"/>
    <w:basedOn w:val="926"/>
    <w:link w:val="938"/>
    <w:uiPriority w:val="99"/>
  </w:style>
  <w:style w:type="paragraph" w:styleId="783">
    <w:name w:val="Caption"/>
    <w:basedOn w:val="923"/>
    <w:next w:val="9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4">
    <w:name w:val="Caption Char"/>
    <w:basedOn w:val="783"/>
    <w:link w:val="938"/>
    <w:uiPriority w:val="99"/>
  </w:style>
  <w:style w:type="table" w:styleId="785">
    <w:name w:val="Table Grid Light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Plain Table 1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2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9">
    <w:name w:val="Plain Table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Plain Table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1">
    <w:name w:val="Grid Table 1 Light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4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3">
    <w:name w:val="Grid Table 4 - Accent 1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4">
    <w:name w:val="Grid Table 4 - Accent 2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Grid Table 4 - Accent 3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6">
    <w:name w:val="Grid Table 4 - Accent 4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Grid Table 4 - Accent 5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8">
    <w:name w:val="Grid Table 4 - Accent 6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9">
    <w:name w:val="Grid Table 5 Dark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0">
    <w:name w:val="Grid Table 5 Dark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3">
    <w:name w:val="Grid Table 5 Dark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6">
    <w:name w:val="Grid Table 6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7">
    <w:name w:val="Grid Table 6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8">
    <w:name w:val="Grid Table 6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9">
    <w:name w:val="Grid Table 6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0">
    <w:name w:val="Grid Table 6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1">
    <w:name w:val="Grid Table 6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2">
    <w:name w:val="Grid Table 6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3">
    <w:name w:val="Grid Table 7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8">
    <w:name w:val="List Table 2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9">
    <w:name w:val="List Table 2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0">
    <w:name w:val="List Table 2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1">
    <w:name w:val="List Table 2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2">
    <w:name w:val="List Table 2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3">
    <w:name w:val="List Table 2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4">
    <w:name w:val="List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5 Dark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6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6">
    <w:name w:val="List Table 6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7">
    <w:name w:val="List Table 6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8">
    <w:name w:val="List Table 6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9">
    <w:name w:val="List Table 6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0">
    <w:name w:val="List Table 6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1">
    <w:name w:val="List Table 6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2">
    <w:name w:val="List Table 7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3">
    <w:name w:val="List Table 7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4">
    <w:name w:val="List Table 7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5">
    <w:name w:val="List Table 7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6">
    <w:name w:val="List Table 7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7">
    <w:name w:val="List Table 7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8">
    <w:name w:val="List Table 7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9">
    <w:name w:val="Lined - Accent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0">
    <w:name w:val="Lined - Accent 1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1">
    <w:name w:val="Lined - Accent 2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2">
    <w:name w:val="Lined - Accent 3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3">
    <w:name w:val="Lined - Accent 4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4">
    <w:name w:val="Lined - Accent 5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5">
    <w:name w:val="Lined - Accent 6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6">
    <w:name w:val="Bordered &amp; Lined - Accent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7">
    <w:name w:val="Bordered &amp; Lined - Accent 1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8">
    <w:name w:val="Bordered &amp; Lined - Accent 2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9">
    <w:name w:val="Bordered &amp; Lined - Accent 3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0">
    <w:name w:val="Bordered &amp; Lined - Accent 4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1">
    <w:name w:val="Bordered &amp; Lined - Accent 5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2">
    <w:name w:val="Bordered &amp; Lined - Accent 6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3">
    <w:name w:val="Bordered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4">
    <w:name w:val="Bordered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5">
    <w:name w:val="Bordered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6">
    <w:name w:val="Bordered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7">
    <w:name w:val="Bordered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8">
    <w:name w:val="Bordered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9">
    <w:name w:val="Bordered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0">
    <w:name w:val="Footnote Text Char"/>
    <w:link w:val="970"/>
    <w:uiPriority w:val="99"/>
    <w:rPr>
      <w:sz w:val="18"/>
    </w:rPr>
  </w:style>
  <w:style w:type="character" w:styleId="911">
    <w:name w:val="Endnote Text Char"/>
    <w:link w:val="975"/>
    <w:uiPriority w:val="99"/>
    <w:rPr>
      <w:sz w:val="20"/>
    </w:rPr>
  </w:style>
  <w:style w:type="paragraph" w:styleId="912">
    <w:name w:val="toc 1"/>
    <w:basedOn w:val="923"/>
    <w:next w:val="923"/>
    <w:uiPriority w:val="39"/>
    <w:unhideWhenUsed/>
    <w:pPr>
      <w:ind w:left="0" w:right="0" w:firstLine="0"/>
      <w:spacing w:after="57"/>
    </w:pPr>
  </w:style>
  <w:style w:type="paragraph" w:styleId="913">
    <w:name w:val="toc 2"/>
    <w:basedOn w:val="923"/>
    <w:next w:val="923"/>
    <w:uiPriority w:val="39"/>
    <w:unhideWhenUsed/>
    <w:pPr>
      <w:ind w:left="283" w:right="0" w:firstLine="0"/>
      <w:spacing w:after="57"/>
    </w:pPr>
  </w:style>
  <w:style w:type="paragraph" w:styleId="914">
    <w:name w:val="toc 3"/>
    <w:basedOn w:val="923"/>
    <w:next w:val="923"/>
    <w:uiPriority w:val="39"/>
    <w:unhideWhenUsed/>
    <w:pPr>
      <w:ind w:left="567" w:right="0" w:firstLine="0"/>
      <w:spacing w:after="57"/>
    </w:pPr>
  </w:style>
  <w:style w:type="paragraph" w:styleId="915">
    <w:name w:val="toc 4"/>
    <w:basedOn w:val="923"/>
    <w:next w:val="923"/>
    <w:uiPriority w:val="39"/>
    <w:unhideWhenUsed/>
    <w:pPr>
      <w:ind w:left="850" w:right="0" w:firstLine="0"/>
      <w:spacing w:after="57"/>
    </w:pPr>
  </w:style>
  <w:style w:type="paragraph" w:styleId="916">
    <w:name w:val="toc 5"/>
    <w:basedOn w:val="923"/>
    <w:next w:val="923"/>
    <w:uiPriority w:val="39"/>
    <w:unhideWhenUsed/>
    <w:pPr>
      <w:ind w:left="1134" w:right="0" w:firstLine="0"/>
      <w:spacing w:after="57"/>
    </w:pPr>
  </w:style>
  <w:style w:type="paragraph" w:styleId="917">
    <w:name w:val="toc 6"/>
    <w:basedOn w:val="923"/>
    <w:next w:val="923"/>
    <w:uiPriority w:val="39"/>
    <w:unhideWhenUsed/>
    <w:pPr>
      <w:ind w:left="1417" w:right="0" w:firstLine="0"/>
      <w:spacing w:after="57"/>
    </w:pPr>
  </w:style>
  <w:style w:type="paragraph" w:styleId="918">
    <w:name w:val="toc 7"/>
    <w:basedOn w:val="923"/>
    <w:next w:val="923"/>
    <w:uiPriority w:val="39"/>
    <w:unhideWhenUsed/>
    <w:pPr>
      <w:ind w:left="1701" w:right="0" w:firstLine="0"/>
      <w:spacing w:after="57"/>
    </w:pPr>
  </w:style>
  <w:style w:type="paragraph" w:styleId="919">
    <w:name w:val="toc 8"/>
    <w:basedOn w:val="923"/>
    <w:next w:val="923"/>
    <w:uiPriority w:val="39"/>
    <w:unhideWhenUsed/>
    <w:pPr>
      <w:ind w:left="1984" w:right="0" w:firstLine="0"/>
      <w:spacing w:after="57"/>
    </w:pPr>
  </w:style>
  <w:style w:type="paragraph" w:styleId="920">
    <w:name w:val="toc 9"/>
    <w:basedOn w:val="923"/>
    <w:next w:val="923"/>
    <w:uiPriority w:val="39"/>
    <w:unhideWhenUsed/>
    <w:pPr>
      <w:ind w:left="2268" w:right="0" w:firstLine="0"/>
      <w:spacing w:after="57"/>
    </w:pPr>
  </w:style>
  <w:style w:type="paragraph" w:styleId="921">
    <w:name w:val="TOC Heading"/>
    <w:uiPriority w:val="39"/>
    <w:unhideWhenUsed/>
  </w:style>
  <w:style w:type="paragraph" w:styleId="922">
    <w:name w:val="table of figures"/>
    <w:basedOn w:val="923"/>
    <w:next w:val="923"/>
    <w:uiPriority w:val="99"/>
    <w:unhideWhenUsed/>
    <w:pPr>
      <w:spacing w:after="0" w:afterAutospacing="0"/>
    </w:pPr>
  </w:style>
  <w:style w:type="paragraph" w:styleId="923" w:default="1">
    <w:name w:val="Normal"/>
    <w:qFormat/>
  </w:style>
  <w:style w:type="paragraph" w:styleId="924">
    <w:name w:val="Heading 1"/>
    <w:basedOn w:val="923"/>
    <w:link w:val="942"/>
    <w:uiPriority w:val="1"/>
    <w:qFormat/>
    <w:pPr>
      <w:spacing w:after="0" w:line="240" w:lineRule="auto"/>
      <w:widowControl w:val="off"/>
      <w:outlineLvl w:val="0"/>
    </w:pPr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paragraph" w:styleId="925">
    <w:name w:val="Heading 2"/>
    <w:basedOn w:val="923"/>
    <w:next w:val="923"/>
    <w:link w:val="943"/>
    <w:uiPriority w:val="9"/>
    <w:semiHidden/>
    <w:unhideWhenUsed/>
    <w:qFormat/>
    <w:pPr>
      <w:keepNext/>
      <w:spacing w:before="240" w:after="60" w:line="276" w:lineRule="auto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26" w:default="1">
    <w:name w:val="Default Paragraph Font"/>
    <w:uiPriority w:val="1"/>
    <w:semiHidden/>
    <w:unhideWhenUsed/>
  </w:style>
  <w:style w:type="table" w:styleId="9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8" w:default="1">
    <w:name w:val="No List"/>
    <w:uiPriority w:val="99"/>
    <w:semiHidden/>
    <w:unhideWhenUsed/>
  </w:style>
  <w:style w:type="table" w:styleId="929">
    <w:name w:val="Table Grid"/>
    <w:basedOn w:val="927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0" w:customStyle="1">
    <w:name w:val="Сетка таблицы6"/>
    <w:basedOn w:val="927"/>
    <w:next w:val="929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1" w:customStyle="1">
    <w:name w:val="Сетка таблицы1"/>
    <w:basedOn w:val="927"/>
    <w:next w:val="92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32">
    <w:name w:val="Hyperlink"/>
    <w:basedOn w:val="926"/>
    <w:uiPriority w:val="99"/>
    <w:unhideWhenUsed/>
    <w:rPr>
      <w:color w:val="0563c1" w:themeColor="hyperlink"/>
      <w:u w:val="single"/>
    </w:rPr>
  </w:style>
  <w:style w:type="character" w:styleId="933">
    <w:name w:val="FollowedHyperlink"/>
    <w:basedOn w:val="926"/>
    <w:uiPriority w:val="99"/>
    <w:semiHidden/>
    <w:unhideWhenUsed/>
    <w:rPr>
      <w:color w:val="800080"/>
      <w:u w:val="single"/>
    </w:rPr>
  </w:style>
  <w:style w:type="paragraph" w:styleId="934" w:customStyle="1">
    <w:name w:val="xl65"/>
    <w:basedOn w:val="923"/>
    <w:pPr>
      <w:spacing w:before="100" w:beforeAutospacing="1" w:after="100" w:afterAutospacing="1" w:line="240" w:lineRule="auto"/>
      <w:pBdr>
        <w:top w:val="single" w:color="D0D7E5" w:sz="4" w:space="0"/>
        <w:left w:val="single" w:color="D0D7E5" w:sz="4" w:space="0"/>
        <w:bottom w:val="single" w:color="D0D7E5" w:sz="4" w:space="0"/>
        <w:right w:val="single" w:color="D0D7E5" w:sz="4" w:space="0"/>
      </w:pBdr>
    </w:pPr>
    <w:rPr>
      <w:rFonts w:ascii="Calibri" w:hAnsi="Calibri" w:eastAsia="Times New Roman" w:cs="Times New Roman"/>
      <w:color w:val="000000"/>
      <w:lang w:eastAsia="ru-RU"/>
    </w:rPr>
  </w:style>
  <w:style w:type="paragraph" w:styleId="935" w:customStyle="1">
    <w:name w:val="xl66"/>
    <w:basedOn w:val="923"/>
    <w:pPr>
      <w:spacing w:before="100" w:beforeAutospacing="1" w:after="100" w:afterAutospacing="1" w:line="240" w:lineRule="auto"/>
      <w:pBdr>
        <w:top w:val="single" w:color="D0D7E5" w:sz="4" w:space="0"/>
        <w:left w:val="single" w:color="D0D7E5" w:sz="4" w:space="0"/>
        <w:bottom w:val="single" w:color="D0D7E5" w:sz="4" w:space="0"/>
        <w:right w:val="single" w:color="D0D7E5" w:sz="4" w:space="0"/>
      </w:pBdr>
    </w:pPr>
    <w:rPr>
      <w:rFonts w:ascii="Calibri" w:hAnsi="Calibri" w:eastAsia="Times New Roman" w:cs="Times New Roman"/>
      <w:color w:val="000000"/>
      <w:lang w:eastAsia="ru-RU"/>
    </w:rPr>
  </w:style>
  <w:style w:type="paragraph" w:styleId="936">
    <w:name w:val="Header"/>
    <w:basedOn w:val="923"/>
    <w:link w:val="9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7" w:customStyle="1">
    <w:name w:val="Верхний колонтитул Знак"/>
    <w:basedOn w:val="926"/>
    <w:link w:val="936"/>
    <w:uiPriority w:val="99"/>
  </w:style>
  <w:style w:type="paragraph" w:styleId="938">
    <w:name w:val="Footer"/>
    <w:basedOn w:val="923"/>
    <w:link w:val="9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9" w:customStyle="1">
    <w:name w:val="Нижний колонтитул Знак"/>
    <w:basedOn w:val="926"/>
    <w:link w:val="938"/>
    <w:uiPriority w:val="99"/>
  </w:style>
  <w:style w:type="paragraph" w:styleId="940">
    <w:name w:val="List Paragraph"/>
    <w:basedOn w:val="923"/>
    <w:uiPriority w:val="34"/>
    <w:qFormat/>
    <w:pPr>
      <w:contextualSpacing/>
      <w:ind w:left="720"/>
    </w:pPr>
  </w:style>
  <w:style w:type="paragraph" w:styleId="941" w:customStyle="1">
    <w:name w:val="ConsPlusNormal"/>
    <w:link w:val="981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942" w:customStyle="1">
    <w:name w:val="Заголовок 1 Знак"/>
    <w:basedOn w:val="926"/>
    <w:link w:val="924"/>
    <w:uiPriority w:val="1"/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character" w:styleId="943" w:customStyle="1">
    <w:name w:val="Заголовок 2 Знак"/>
    <w:basedOn w:val="926"/>
    <w:link w:val="925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44" w:customStyle="1">
    <w:name w:val="Основной текст_"/>
    <w:basedOn w:val="926"/>
    <w:link w:val="945"/>
    <w:rPr>
      <w:rFonts w:ascii="Times New Roman" w:hAnsi="Times New Roman" w:eastAsia="Times New Roman" w:cs="Times New Roman"/>
      <w:shd w:val="clear" w:color="auto" w:fill="ffffff"/>
    </w:rPr>
  </w:style>
  <w:style w:type="paragraph" w:styleId="945" w:customStyle="1">
    <w:name w:val="Основной текст13"/>
    <w:basedOn w:val="923"/>
    <w:link w:val="944"/>
    <w:pPr>
      <w:ind w:hanging="620"/>
      <w:spacing w:before="780" w:after="6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character" w:styleId="946" w:customStyle="1">
    <w:name w:val="Заголовок №4_"/>
    <w:basedOn w:val="926"/>
    <w:link w:val="948"/>
    <w:rPr>
      <w:rFonts w:ascii="Times New Roman" w:hAnsi="Times New Roman" w:eastAsia="Times New Roman" w:cs="Times New Roman"/>
      <w:shd w:val="clear" w:color="auto" w:fill="ffffff"/>
    </w:rPr>
  </w:style>
  <w:style w:type="character" w:styleId="947" w:customStyle="1">
    <w:name w:val="Основной текст + 8 pt;Полужирный"/>
    <w:basedOn w:val="944"/>
    <w:rPr>
      <w:rFonts w:ascii="Times New Roman" w:hAnsi="Times New Roman" w:eastAsia="Times New Roman" w:cs="Times New Roman"/>
      <w:b/>
      <w:bCs/>
      <w:sz w:val="16"/>
      <w:szCs w:val="16"/>
      <w:shd w:val="clear" w:color="auto" w:fill="ffffff"/>
    </w:rPr>
  </w:style>
  <w:style w:type="paragraph" w:styleId="948" w:customStyle="1">
    <w:name w:val="Заголовок №4"/>
    <w:basedOn w:val="923"/>
    <w:link w:val="946"/>
    <w:pPr>
      <w:jc w:val="both"/>
      <w:spacing w:after="0" w:line="274" w:lineRule="exact"/>
      <w:shd w:val="clear" w:color="auto" w:fill="ffffff"/>
      <w:outlineLvl w:val="3"/>
    </w:pPr>
    <w:rPr>
      <w:rFonts w:ascii="Times New Roman" w:hAnsi="Times New Roman" w:eastAsia="Times New Roman" w:cs="Times New Roman"/>
    </w:rPr>
  </w:style>
  <w:style w:type="character" w:styleId="949" w:customStyle="1">
    <w:name w:val="Основной текст4"/>
    <w:basedOn w:val="94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styleId="950" w:customStyle="1">
    <w:name w:val="Основной текст (2)_"/>
    <w:basedOn w:val="926"/>
    <w:link w:val="956"/>
    <w:rPr>
      <w:rFonts w:ascii="Times New Roman" w:hAnsi="Times New Roman" w:eastAsia="Times New Roman" w:cs="Times New Roman"/>
      <w:shd w:val="clear" w:color="auto" w:fill="ffffff"/>
    </w:rPr>
  </w:style>
  <w:style w:type="character" w:styleId="951" w:customStyle="1">
    <w:name w:val="Заголовок №2_"/>
    <w:basedOn w:val="926"/>
    <w:link w:val="957"/>
    <w:rPr>
      <w:rFonts w:ascii="Times New Roman" w:hAnsi="Times New Roman" w:eastAsia="Times New Roman" w:cs="Times New Roman"/>
      <w:sz w:val="27"/>
      <w:szCs w:val="27"/>
      <w:shd w:val="clear" w:color="auto" w:fill="ffffff"/>
    </w:rPr>
  </w:style>
  <w:style w:type="character" w:styleId="952" w:customStyle="1">
    <w:name w:val="Основной текст (5)_"/>
    <w:basedOn w:val="926"/>
    <w:link w:val="958"/>
    <w:rPr>
      <w:rFonts w:ascii="Times New Roman" w:hAnsi="Times New Roman" w:eastAsia="Times New Roman" w:cs="Times New Roman"/>
      <w:sz w:val="21"/>
      <w:szCs w:val="21"/>
      <w:shd w:val="clear" w:color="auto" w:fill="ffffff"/>
    </w:rPr>
  </w:style>
  <w:style w:type="character" w:styleId="953" w:customStyle="1">
    <w:name w:val="Основной текст (5) + 11 pt;Не курсив"/>
    <w:basedOn w:val="952"/>
    <w:rPr>
      <w:rFonts w:ascii="Times New Roman" w:hAnsi="Times New Roman" w:eastAsia="Times New Roman" w:cs="Times New Roman"/>
      <w:i/>
      <w:iCs/>
      <w:spacing w:val="0"/>
      <w:sz w:val="22"/>
      <w:szCs w:val="22"/>
      <w:shd w:val="clear" w:color="auto" w:fill="ffffff"/>
    </w:rPr>
  </w:style>
  <w:style w:type="character" w:styleId="954" w:customStyle="1">
    <w:name w:val="Основной текст10"/>
    <w:basedOn w:val="94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styleId="955" w:customStyle="1">
    <w:name w:val="Основной текст11"/>
    <w:basedOn w:val="94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paragraph" w:styleId="956" w:customStyle="1">
    <w:name w:val="Основной текст (2)"/>
    <w:basedOn w:val="923"/>
    <w:link w:val="950"/>
    <w:pPr>
      <w:spacing w:after="114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paragraph" w:styleId="957" w:customStyle="1">
    <w:name w:val="Заголовок №2"/>
    <w:basedOn w:val="923"/>
    <w:link w:val="951"/>
    <w:pPr>
      <w:ind w:hanging="380"/>
      <w:spacing w:after="360" w:line="0" w:lineRule="atLeast"/>
      <w:shd w:val="clear" w:color="auto" w:fill="ffffff"/>
      <w:outlineLvl w:val="1"/>
    </w:pPr>
    <w:rPr>
      <w:rFonts w:ascii="Times New Roman" w:hAnsi="Times New Roman" w:eastAsia="Times New Roman" w:cs="Times New Roman"/>
      <w:sz w:val="27"/>
      <w:szCs w:val="27"/>
    </w:rPr>
  </w:style>
  <w:style w:type="paragraph" w:styleId="958" w:customStyle="1">
    <w:name w:val="Основной текст (5)"/>
    <w:basedOn w:val="923"/>
    <w:link w:val="952"/>
    <w:pPr>
      <w:jc w:val="both"/>
      <w:spacing w:before="480" w:after="0" w:line="269" w:lineRule="exact"/>
      <w:shd w:val="clear" w:color="auto" w:fill="ffffff"/>
    </w:pPr>
    <w:rPr>
      <w:rFonts w:ascii="Times New Roman" w:hAnsi="Times New Roman" w:eastAsia="Times New Roman" w:cs="Times New Roman"/>
      <w:sz w:val="21"/>
      <w:szCs w:val="21"/>
    </w:rPr>
  </w:style>
  <w:style w:type="character" w:styleId="959" w:customStyle="1">
    <w:name w:val="Сноска_"/>
    <w:basedOn w:val="926"/>
    <w:link w:val="960"/>
    <w:rPr>
      <w:rFonts w:ascii="Times New Roman" w:hAnsi="Times New Roman" w:eastAsia="Times New Roman" w:cs="Times New Roman"/>
      <w:shd w:val="clear" w:color="auto" w:fill="ffffff"/>
    </w:rPr>
  </w:style>
  <w:style w:type="paragraph" w:styleId="960" w:customStyle="1">
    <w:name w:val="Сноска"/>
    <w:basedOn w:val="923"/>
    <w:link w:val="959"/>
    <w:pPr>
      <w:spacing w:after="0" w:line="250" w:lineRule="exact"/>
      <w:shd w:val="clear" w:color="auto" w:fill="ffffff"/>
    </w:pPr>
    <w:rPr>
      <w:rFonts w:ascii="Times New Roman" w:hAnsi="Times New Roman" w:eastAsia="Times New Roman" w:cs="Times New Roman"/>
    </w:rPr>
  </w:style>
  <w:style w:type="paragraph" w:styleId="961" w:customStyle="1">
    <w:name w:val="s_1"/>
    <w:basedOn w:val="92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2">
    <w:name w:val="Body Text"/>
    <w:basedOn w:val="923"/>
    <w:link w:val="963"/>
    <w:uiPriority w:val="1"/>
    <w:qFormat/>
    <w:pPr>
      <w:ind w:left="118" w:firstLine="708"/>
      <w:spacing w:before="1" w:after="0" w:line="240" w:lineRule="auto"/>
      <w:widowControl w:val="off"/>
    </w:pPr>
    <w:rPr>
      <w:rFonts w:ascii="Times New Roman" w:hAnsi="Times New Roman" w:eastAsia="Times New Roman" w:cs="Times New Roman"/>
      <w:sz w:val="28"/>
      <w:szCs w:val="28"/>
      <w:lang w:val="en-US"/>
    </w:rPr>
  </w:style>
  <w:style w:type="character" w:styleId="963" w:customStyle="1">
    <w:name w:val="Основной текст Знак"/>
    <w:basedOn w:val="926"/>
    <w:link w:val="962"/>
    <w:uiPriority w:val="1"/>
    <w:rPr>
      <w:rFonts w:ascii="Times New Roman" w:hAnsi="Times New Roman" w:eastAsia="Times New Roman" w:cs="Times New Roman"/>
      <w:sz w:val="28"/>
      <w:szCs w:val="28"/>
      <w:lang w:val="en-US"/>
    </w:rPr>
  </w:style>
  <w:style w:type="paragraph" w:styleId="964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965" w:customStyle="1">
    <w:name w:val="hps"/>
    <w:basedOn w:val="926"/>
  </w:style>
  <w:style w:type="character" w:styleId="966" w:customStyle="1">
    <w:name w:val="hps atn"/>
    <w:basedOn w:val="926"/>
  </w:style>
  <w:style w:type="character" w:styleId="967" w:customStyle="1">
    <w:name w:val="Цветовое выделение для Нормальный"/>
    <w:uiPriority w:val="99"/>
    <w:rPr>
      <w:sz w:val="20"/>
      <w:szCs w:val="20"/>
    </w:rPr>
  </w:style>
  <w:style w:type="table" w:styleId="968" w:customStyle="1">
    <w:name w:val="Table Normal1"/>
    <w:uiPriority w:val="2"/>
    <w:semiHidden/>
    <w:unhideWhenUsed/>
    <w:qFormat/>
    <w:pPr>
      <w:spacing w:after="0" w:line="240" w:lineRule="auto"/>
      <w:widowControl w:val="off"/>
    </w:pPr>
    <w:rPr>
      <w:rFonts w:ascii="Calibri" w:hAnsi="Calibri" w:eastAsia="Calibri" w:cs="Times New Roman"/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69" w:customStyle="1">
    <w:name w:val="Table Paragraph"/>
    <w:basedOn w:val="923"/>
    <w:uiPriority w:val="1"/>
    <w:qFormat/>
    <w:pPr>
      <w:spacing w:after="0" w:line="240" w:lineRule="auto"/>
      <w:widowControl w:val="off"/>
    </w:pPr>
    <w:rPr>
      <w:rFonts w:ascii="Calibri" w:hAnsi="Calibri" w:eastAsia="Calibri" w:cs="Times New Roman"/>
      <w:lang w:val="en-US"/>
    </w:rPr>
  </w:style>
  <w:style w:type="paragraph" w:styleId="970">
    <w:name w:val="footnote text"/>
    <w:basedOn w:val="923"/>
    <w:link w:val="971"/>
    <w:uiPriority w:val="99"/>
    <w:semiHidden/>
    <w:unhideWhenUsed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styleId="971" w:customStyle="1">
    <w:name w:val="Текст сноски Знак"/>
    <w:basedOn w:val="926"/>
    <w:link w:val="970"/>
    <w:uiPriority w:val="99"/>
    <w:semiHidden/>
    <w:rPr>
      <w:rFonts w:ascii="Calibri" w:hAnsi="Calibri" w:eastAsia="Calibri" w:cs="Times New Roman"/>
      <w:sz w:val="20"/>
      <w:szCs w:val="20"/>
    </w:rPr>
  </w:style>
  <w:style w:type="character" w:styleId="972">
    <w:name w:val="footnote reference"/>
    <w:unhideWhenUsed/>
    <w:qFormat/>
    <w:rPr>
      <w:vertAlign w:val="superscript"/>
    </w:rPr>
  </w:style>
  <w:style w:type="paragraph" w:styleId="973">
    <w:name w:val="Balloon Text"/>
    <w:basedOn w:val="923"/>
    <w:link w:val="974"/>
    <w:uiPriority w:val="99"/>
    <w:semiHidden/>
    <w:unhideWhenUsed/>
    <w:pPr>
      <w:spacing w:after="0" w:line="240" w:lineRule="auto"/>
    </w:pPr>
    <w:rPr>
      <w:rFonts w:ascii="Tahoma" w:hAnsi="Tahoma" w:eastAsia="Calibri" w:cs="Times New Roman"/>
      <w:sz w:val="16"/>
      <w:szCs w:val="16"/>
    </w:rPr>
  </w:style>
  <w:style w:type="character" w:styleId="974" w:customStyle="1">
    <w:name w:val="Текст выноски Знак"/>
    <w:basedOn w:val="926"/>
    <w:link w:val="973"/>
    <w:uiPriority w:val="99"/>
    <w:semiHidden/>
    <w:rPr>
      <w:rFonts w:ascii="Tahoma" w:hAnsi="Tahoma" w:eastAsia="Calibri" w:cs="Times New Roman"/>
      <w:sz w:val="16"/>
      <w:szCs w:val="16"/>
    </w:rPr>
  </w:style>
  <w:style w:type="paragraph" w:styleId="975">
    <w:name w:val="endnote text"/>
    <w:basedOn w:val="923"/>
    <w:link w:val="976"/>
    <w:uiPriority w:val="99"/>
    <w:semiHidden/>
    <w:unhideWhenUsed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styleId="976" w:customStyle="1">
    <w:name w:val="Текст концевой сноски Знак"/>
    <w:basedOn w:val="926"/>
    <w:link w:val="975"/>
    <w:uiPriority w:val="99"/>
    <w:semiHidden/>
    <w:rPr>
      <w:rFonts w:ascii="Calibri" w:hAnsi="Calibri" w:eastAsia="Calibri" w:cs="Times New Roman"/>
      <w:sz w:val="20"/>
      <w:szCs w:val="20"/>
    </w:rPr>
  </w:style>
  <w:style w:type="character" w:styleId="977">
    <w:name w:val="endnote reference"/>
    <w:uiPriority w:val="99"/>
    <w:semiHidden/>
    <w:unhideWhenUsed/>
    <w:rPr>
      <w:vertAlign w:val="superscript"/>
    </w:rPr>
  </w:style>
  <w:style w:type="paragraph" w:styleId="978" w:customStyle="1">
    <w:name w:val="Standard"/>
    <w:qFormat/>
    <w:pPr>
      <w:spacing w:line="252" w:lineRule="auto"/>
    </w:pPr>
    <w:rPr>
      <w:rFonts w:ascii="Calibri" w:hAnsi="Calibri" w:eastAsia="Calibri" w:cs="Tahoma"/>
      <w:color w:val="00000a"/>
    </w:rPr>
  </w:style>
  <w:style w:type="paragraph" w:styleId="979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980">
    <w:name w:val="Strong"/>
    <w:uiPriority w:val="22"/>
    <w:qFormat/>
    <w:rPr>
      <w:b/>
      <w:bCs/>
    </w:rPr>
  </w:style>
  <w:style w:type="character" w:styleId="981" w:customStyle="1">
    <w:name w:val="ConsPlusNormal Знак"/>
    <w:link w:val="941"/>
    <w:rPr>
      <w:rFonts w:ascii="Times New Roman" w:hAnsi="Times New Roman" w:cs="Times New Roman"/>
      <w:sz w:val="24"/>
      <w:szCs w:val="24"/>
    </w:rPr>
  </w:style>
  <w:style w:type="character" w:styleId="982" w:customStyle="1">
    <w:name w:val="blk"/>
    <w:basedOn w:val="926"/>
  </w:style>
  <w:style w:type="character" w:styleId="983" w:customStyle="1">
    <w:name w:val="iceouttxt6"/>
    <w:basedOn w:val="926"/>
    <w:rPr>
      <w:rFonts w:hint="default" w:ascii="Arial" w:hAnsi="Arial" w:cs="Arial"/>
      <w:color w:val="666666"/>
      <w:sz w:val="14"/>
      <w:szCs w:val="1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pochta@minenergo.e-zab.ru" TargetMode="External"/><Relationship Id="rId12" Type="http://schemas.openxmlformats.org/officeDocument/2006/relationships/hyperlink" Target="http://zakupki.gov.ru/" TargetMode="External"/><Relationship Id="rId13" Type="http://schemas.openxmlformats.org/officeDocument/2006/relationships/hyperlink" Target="http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A3268-CFB3-4F85-AD7F-E8A79983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pc004</dc:creator>
  <cp:revision>129</cp:revision>
  <dcterms:created xsi:type="dcterms:W3CDTF">2019-04-09T02:18:00Z</dcterms:created>
  <dcterms:modified xsi:type="dcterms:W3CDTF">2025-03-19T03:53:54Z</dcterms:modified>
</cp:coreProperties>
</file>