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«01» августа</w:t>
      </w:r>
      <w:r>
        <w:rPr>
          <w:rFonts w:ascii="Times New Roman" w:hAnsi="Times New Roman" w:cs="Times New Roman"/>
          <w:sz w:val="24"/>
          <w:szCs w:val="24"/>
        </w:rPr>
        <w:t xml:space="preserve"> 2025</w:t>
      </w:r>
      <w:r>
        <w:rPr>
          <w:rFonts w:ascii="Times New Roman" w:hAnsi="Times New Roman" w:cs="Times New Roman"/>
          <w:sz w:val="24"/>
          <w:szCs w:val="24"/>
        </w:rPr>
        <w:t xml:space="preserve"> г. № 89 о.д.</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 5-ПО(4</w:t>
      </w:r>
      <w:r>
        <w:rPr>
          <w:rFonts w:ascii="Times New Roman" w:hAnsi="Times New Roman" w:eastAsia="Calibri" w:cs="Times New Roman"/>
          <w:b/>
          <w:sz w:val="24"/>
          <w:szCs w:val="24"/>
        </w:rPr>
        <w:t xml:space="preserve">).ОТСП</w:t>
      </w:r>
      <w:r>
        <w:rPr>
          <w:rFonts w:ascii="Times New Roman" w:hAnsi="Times New Roman" w:eastAsia="Calibri" w:cs="Times New Roman"/>
          <w:b/>
          <w:sz w:val="24"/>
          <w:szCs w:val="24"/>
        </w:rPr>
        <w:t xml:space="preserve">.2025</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cs="Times New Roman"/>
          <w:b/>
          <w:bCs/>
          <w:sz w:val="24"/>
          <w:szCs w:val="24"/>
          <w:highlight w:val="yellow"/>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cs="Times New Roman"/>
          <w:b/>
          <w:bCs/>
          <w:sz w:val="24"/>
          <w:szCs w:val="24"/>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Pr>
          <w:rFonts w:ascii="Times New Roman" w:hAnsi="Times New Roman" w:cs="Times New Roman"/>
          <w:b/>
          <w:bCs/>
          <w:sz w:val="24"/>
          <w:szCs w:val="24"/>
          <w:highlight w:val="white"/>
        </w:rPr>
        <w:t xml:space="preserve">многоквартирных домов, являющихся объектами культурн</w:t>
      </w:r>
      <w:r>
        <w:rPr>
          <w:rFonts w:ascii="Times New Roman" w:hAnsi="Times New Roman" w:cs="Times New Roman"/>
          <w:b/>
          <w:bCs/>
          <w:sz w:val="24"/>
          <w:szCs w:val="24"/>
          <w:highlight w:val="white"/>
        </w:rPr>
        <w:t xml:space="preserve">о</w:t>
      </w:r>
      <w:r>
        <w:rPr>
          <w:rFonts w:ascii="Times New Roman" w:hAnsi="Times New Roman" w:cs="Times New Roman"/>
          <w:b/>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
          <w:bCs/>
          <w:sz w:val="24"/>
          <w:szCs w:val="24"/>
          <w:highlight w:val="yellow"/>
        </w:rPr>
      </w:r>
      <w:r>
        <w:rPr>
          <w:rFonts w:ascii="Times New Roman" w:hAnsi="Times New Roman" w:cs="Times New Roman"/>
          <w:b/>
          <w:bCs/>
          <w:sz w:val="24"/>
          <w:szCs w:val="24"/>
          <w:highlight w:val="yellow"/>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left"/>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 Чита, 2025</w:t>
      </w:r>
      <w:bookmarkStart w:id="0" w:name="_GoBack"/>
      <w:r/>
      <w:bookmarkEnd w:id="0"/>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w:t>
      </w:r>
      <w:r>
        <w:rPr>
          <w:rFonts w:ascii="Times New Roman" w:hAnsi="Times New Roman" w:eastAsia="Calibri" w:cs="Times New Roman"/>
          <w:sz w:val="24"/>
          <w:szCs w:val="24"/>
        </w:rPr>
        <w:t xml:space="preserve">нимать участие в электронных аукционах, предметом которых является </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eastAsia="Calibri"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eastAsia="Calibri" w:cs="Times New Roman"/>
          <w:sz w:val="24"/>
          <w:szCs w:val="24"/>
        </w:rPr>
        <w:t xml:space="preserve"> (далее – Документация о проведении предварительного отбора, предварительный отбор).</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орган по ведению РКПО) является Министерство жилищно-коммунального хозяйства, энергетики, цифровизац</w:t>
      </w:r>
      <w:r>
        <w:rPr>
          <w:rFonts w:ascii="Times New Roman" w:hAnsi="Times New Roman" w:eastAsia="Times New Roman" w:cs="Times New Roman"/>
          <w:bCs/>
          <w:sz w:val="24"/>
          <w:szCs w:val="24"/>
          <w:lang w:eastAsia="ru-RU"/>
        </w:rPr>
        <w:t xml:space="preserve">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4962" w:type="pct"/>
        <w:tblInd w:w="108" w:type="dxa"/>
        <w:shd w:val="clear" w:color="auto" w:fill="ffffff"/>
        <w:tblLook w:val="04A0" w:firstRow="1" w:lastRow="0" w:firstColumn="1" w:lastColumn="0" w:noHBand="0" w:noVBand="1"/>
      </w:tblPr>
      <w:tblGrid>
        <w:gridCol w:w="604"/>
        <w:gridCol w:w="4270"/>
        <w:gridCol w:w="106"/>
        <w:gridCol w:w="4517"/>
      </w:tblGrid>
      <w:tr>
        <w:tblPrEx/>
        <w:trPr>
          <w:trHeight w:val="667"/>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5-ПО(4</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9"/>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21"/>
                  <w:rFonts w:ascii="Times New Roman" w:hAnsi="Times New Roman" w:eastAsia="Calibri" w:cs="Times New Roman"/>
                  <w:sz w:val="24"/>
                  <w:szCs w:val="24"/>
                  <w:lang w:val="en-US"/>
                </w:rPr>
                <w:t xml:space="preserve">pochta</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minenergo</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e</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zab</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ru</w:t>
              </w:r>
            </w:hyperlink>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w:t>
            </w:r>
            <w:r>
              <w:rPr>
                <w:rFonts w:ascii="Times New Roman" w:hAnsi="Times New Roman" w:eastAsia="Times New Roman" w:cs="Times New Roman"/>
                <w:color w:val="000000"/>
                <w:sz w:val="24"/>
                <w:szCs w:val="24"/>
                <w:lang w:eastAsia="ru-RU"/>
              </w:rPr>
              <w:t xml:space="preserve">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августа</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августа</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сентября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284"/>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426"/>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
          <w:sz w:val="24"/>
          <w:szCs w:val="24"/>
          <w:lang w:eastAsia="ru-RU"/>
        </w:rPr>
        <w:outlineLvl w:val="1"/>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962"/>
        <w:gridCol w:w="5924"/>
      </w:tblGrid>
      <w:tr>
        <w:tblPrEx/>
        <w:trPr>
          <w:trHeight w:val="458"/>
          <w:tblHeader/>
        </w:trPr>
        <w:tc>
          <w:tcPr>
            <w:shd w:val="clear" w:color="auto" w:fill="auto"/>
            <w:tcW w:w="30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156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130"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5"/>
        </w:trPr>
        <w:tc>
          <w:tcPr>
            <w:shd w:val="clear" w:color="auto" w:fill="auto"/>
            <w:tcW w:w="305"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Требования к оказанию услуг и (или)</w:t>
            </w:r>
            <w:r>
              <w:rPr>
                <w:rFonts w:ascii="Times New Roman" w:hAnsi="Times New Roman" w:eastAsia="Times New Roman" w:cs="Times New Roman"/>
                <w:sz w:val="24"/>
                <w:szCs w:val="24"/>
                <w:lang w:eastAsia="ru-RU"/>
              </w:rPr>
              <w:t xml:space="preserve"> выполнению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highlight w:val="white"/>
              </w:rPr>
            </w:pPr>
            <w:r>
              <w:rPr>
                <w:rFonts w:ascii="Times New Roman" w:hAnsi="Times New Roman" w:cs="Times New Roman"/>
                <w:bCs/>
                <w:sz w:val="24"/>
                <w:szCs w:val="24"/>
              </w:rPr>
              <w:t xml:space="preserve">Общие требования к </w:t>
            </w:r>
            <w:r>
              <w:rPr>
                <w:rFonts w:ascii="Times New Roman" w:hAnsi="Times New Roman" w:cs="Times New Roman"/>
                <w:bCs/>
                <w:sz w:val="24"/>
                <w:szCs w:val="24"/>
              </w:rPr>
              <w:t xml:space="preserve">оказанию услуг и (или) выполнению работ по оц</w:t>
            </w:r>
            <w:r>
              <w:rPr>
                <w:rFonts w:ascii="Times New Roman" w:hAnsi="Times New Roman" w:cs="Times New Roman"/>
                <w:bCs/>
                <w:sz w:val="24"/>
                <w:szCs w:val="24"/>
                <w:highlight w:val="white"/>
              </w:rPr>
              <w:t xml:space="preserve">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bCs/>
                <w:sz w:val="24"/>
                <w:szCs w:val="24"/>
                <w:highlight w:val="white"/>
              </w:rPr>
              <w:t xml:space="preserve">о</w:t>
            </w:r>
            <w:r>
              <w:rPr>
                <w:rFonts w:ascii="Times New Roman" w:hAnsi="Times New Roman" w:cs="Times New Roman"/>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Cs/>
                <w:sz w:val="24"/>
                <w:szCs w:val="24"/>
                <w:highlight w:val="white"/>
              </w:rPr>
              <w:t xml:space="preserve"> </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0"/>
              <w:jc w:val="both"/>
              <w:spacing w:after="0" w:line="240" w:lineRule="auto"/>
              <w:shd w:val="clear" w:color="auto" w:fill="ffffff"/>
              <w:widowControl w:val="off"/>
              <w:rPr>
                <w:rFonts w:ascii="Times New Roman" w:hAnsi="Times New Roman" w:cs="Times New Roman"/>
                <w:sz w:val="24"/>
                <w:szCs w:val="24"/>
              </w:rPr>
            </w:pPr>
            <w:r>
              <w:rPr>
                <w:rFonts w:ascii="Times New Roman" w:hAnsi="Times New Roman" w:cs="Times New Roman"/>
                <w:spacing w:val="-3"/>
                <w:sz w:val="24"/>
                <w:szCs w:val="24"/>
              </w:rPr>
              <w:t xml:space="preserve">Проектно-сметная документация разрабатывается в </w:t>
            </w:r>
            <w:r>
              <w:rPr>
                <w:rFonts w:ascii="Times New Roman" w:hAnsi="Times New Roman" w:cs="Times New Roman"/>
                <w:spacing w:val="-2"/>
                <w:sz w:val="24"/>
                <w:szCs w:val="24"/>
              </w:rPr>
              <w:t xml:space="preserve">объеме, необх</w:t>
            </w:r>
            <w:r>
              <w:rPr>
                <w:rFonts w:ascii="Times New Roman" w:hAnsi="Times New Roman" w:cs="Times New Roman"/>
                <w:spacing w:val="-2"/>
                <w:sz w:val="24"/>
                <w:szCs w:val="24"/>
              </w:rPr>
              <w:t xml:space="preserve">одимом для проведения капитального </w:t>
            </w:r>
            <w:r>
              <w:rPr>
                <w:rFonts w:ascii="Times New Roman" w:hAnsi="Times New Roman" w:cs="Times New Roman"/>
                <w:spacing w:val="-3"/>
                <w:sz w:val="24"/>
                <w:szCs w:val="24"/>
              </w:rPr>
              <w:t xml:space="preserve">ремонта общего имущества многоквартирного дома, в </w:t>
            </w:r>
            <w:r>
              <w:rPr>
                <w:rFonts w:ascii="Times New Roman" w:hAnsi="Times New Roman" w:cs="Times New Roman"/>
                <w:spacing w:val="-4"/>
                <w:sz w:val="24"/>
                <w:szCs w:val="24"/>
              </w:rPr>
              <w:t xml:space="preserve">соответствии с нормами действующего </w:t>
            </w:r>
            <w:r>
              <w:rPr>
                <w:rFonts w:ascii="Times New Roman" w:hAnsi="Times New Roman" w:cs="Times New Roman"/>
                <w:spacing w:val="-2"/>
                <w:sz w:val="24"/>
                <w:szCs w:val="24"/>
              </w:rPr>
              <w:t xml:space="preserve">законодательства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w:t>
            </w:r>
            <w:r>
              <w:rPr>
                <w:rFonts w:ascii="Times New Roman" w:hAnsi="Times New Roman" w:cs="Times New Roman"/>
                <w:bCs/>
                <w:sz w:val="24"/>
                <w:szCs w:val="24"/>
              </w:rPr>
              <w:t xml:space="preserve">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w:t>
            </w:r>
            <w:r>
              <w:rPr>
                <w:rFonts w:ascii="Times New Roman" w:hAnsi="Times New Roman" w:cs="Times New Roman"/>
                <w:bCs/>
                <w:sz w:val="24"/>
                <w:szCs w:val="24"/>
              </w:rPr>
              <w:t xml:space="preserve">.13330.2011 «Здания жилые многоквартирные. Актуализированная редакция СНиП 31-01-2003»;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армокаменные конструкции. Актуализированная редакция СНиП II-22-81*»;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w:t>
            </w:r>
            <w:r>
              <w:rPr>
                <w:rFonts w:ascii="Times New Roman" w:hAnsi="Times New Roman" w:cs="Times New Roman"/>
                <w:bCs/>
                <w:sz w:val="24"/>
                <w:szCs w:val="24"/>
              </w:rPr>
              <w:t xml:space="preserve">ожения. Актуализированная редакция СНиП 52-01-2003 (с Изменениями № 1,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Актуализированная редакция СНиП II-25-80»;</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«Кровли. Актуализированная редакция СНиП II-26-76»;</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w:t>
            </w:r>
            <w:r>
              <w:rPr>
                <w:rFonts w:ascii="Times New Roman" w:hAnsi="Times New Roman" w:cs="Times New Roman"/>
                <w:bCs/>
                <w:sz w:val="24"/>
                <w:szCs w:val="24"/>
              </w:rPr>
              <w:t xml:space="preserve">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w:t>
            </w:r>
            <w:r>
              <w:rPr>
                <w:rFonts w:ascii="Times New Roman" w:hAnsi="Times New Roman" w:cs="Times New Roman"/>
                <w:bCs/>
                <w:sz w:val="24"/>
                <w:szCs w:val="24"/>
              </w:rPr>
              <w:t xml:space="preserve">рованная редакция СНиП 2.03.11-85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канализация зданий. Актуализированная редакция СНиП 2.04.01-85*»;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w:t>
            </w:r>
            <w:r>
              <w:rPr>
                <w:rFonts w:ascii="Times New Roman" w:hAnsi="Times New Roman" w:cs="Times New Roman"/>
                <w:bCs/>
                <w:sz w:val="24"/>
                <w:szCs w:val="24"/>
              </w:rPr>
              <w:t xml:space="preserve">13330.2012 «Отопление, вентиляция и кондиционирование воздуха. Актуализированная редакция СНиП 41-01-2003»;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«Проектирование и монтаж электроустановок жилых и общественных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w:t>
            </w:r>
            <w:r>
              <w:rPr>
                <w:rFonts w:ascii="Times New Roman" w:hAnsi="Times New Roman" w:cs="Times New Roman"/>
                <w:bCs/>
                <w:sz w:val="24"/>
                <w:szCs w:val="24"/>
              </w:rPr>
              <w:t xml:space="preserve">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31937-2011 «Здания и сооружения. Правила обследования и мониторинга технического состояния»;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СП 13-102-2003 «Правила обследования несущих строительных конструкций зданий и 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21.1101-2013 «Система проектной документации для </w:t>
            </w:r>
            <w:r>
              <w:rPr>
                <w:rFonts w:ascii="Times New Roman" w:hAnsi="Times New Roman" w:cs="Times New Roman"/>
                <w:sz w:val="24"/>
                <w:szCs w:val="24"/>
              </w:rPr>
              <w:t xml:space="preserve">строительства. Основные требования к проектной и рабочей документации»;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55969-2014 «Лифты. Ввод в эксплуатацию. Общие тр</w:t>
            </w:r>
            <w:r>
              <w:rPr>
                <w:rFonts w:ascii="Times New Roman" w:hAnsi="Times New Roman" w:cs="Times New Roman"/>
                <w:sz w:val="24"/>
                <w:szCs w:val="24"/>
              </w:rPr>
              <w:t xml:space="preserve">ебования»;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Технический регламент Таможенного союза ТР ТС 011/2011 «Безопасность лифтов»;</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53782-2010 «Лифты. Правила и методы оценки соответствия лифтов при вводе в эксплуатацию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33652-2015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81-70:2003) «</w:t>
            </w:r>
            <w:r>
              <w:rPr>
                <w:rFonts w:ascii="Times New Roman" w:hAnsi="Times New Roman" w:cs="Times New Roman"/>
                <w:sz w:val="24"/>
                <w:szCs w:val="24"/>
              </w:rPr>
              <w:t xml:space="preserve">Лифты пассажирские. Технические требования доступности, включая доступность для инвалидов и других маломобильных групп населения».</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rPr>
                <w:rFonts w:ascii="Times New Roman" w:hAnsi="Times New Roman" w:eastAsia="Times New Roman" w:cs="Times New Roman"/>
                <w:sz w:val="24"/>
                <w:szCs w:val="24"/>
                <w:highlight w:val="cyan"/>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216"/>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составу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742"/>
              <w:jc w:val="both"/>
              <w:spacing w:before="0" w:beforeAutospacing="0" w:after="0" w:afterAutospacing="0"/>
              <w:shd w:val="clear" w:color="auto" w:fill="ffffff"/>
              <w:rPr>
                <w:b w:val="0"/>
                <w:sz w:val="24"/>
                <w:szCs w:val="24"/>
              </w:rPr>
            </w:pPr>
            <w:r>
              <w:rPr>
                <w:rFonts w:eastAsiaTheme="minorHAnsi"/>
                <w:b w:val="0"/>
                <w:sz w:val="24"/>
                <w:szCs w:val="24"/>
                <w:lang w:eastAsia="en-US"/>
              </w:rPr>
              <w:t xml:space="preserve">Проектно-сметная документация оформляется в соответствии с ГОСТ Р 21.1101-2013 «Система проектной документации для строительства (СПДС). Основные требования к проектной и рабочей документации (с Попр</w:t>
            </w:r>
            <w:r>
              <w:rPr>
                <w:rFonts w:eastAsiaTheme="minorHAnsi"/>
                <w:b w:val="0"/>
                <w:sz w:val="24"/>
                <w:szCs w:val="24"/>
                <w:lang w:eastAsia="en-US"/>
              </w:rPr>
              <w:t xml:space="preserve">авкой)</w:t>
            </w:r>
            <w:r>
              <w:rPr>
                <w:b w:val="0"/>
                <w:sz w:val="24"/>
                <w:szCs w:val="24"/>
              </w:rPr>
              <w:t xml:space="preserve">», а также иными действующими нормативными правовыми актами Российской Федерации.</w:t>
            </w:r>
            <w:r>
              <w:rPr>
                <w:b w:val="0"/>
                <w:sz w:val="24"/>
                <w:szCs w:val="24"/>
              </w:rPr>
            </w:r>
            <w:r>
              <w:rPr>
                <w:b w:val="0"/>
                <w:sz w:val="24"/>
                <w:szCs w:val="24"/>
              </w:rPr>
            </w:r>
          </w:p>
          <w:p>
            <w:pPr>
              <w:pStyle w:val="742"/>
              <w:jc w:val="both"/>
              <w:spacing w:before="0" w:beforeAutospacing="0" w:after="0" w:afterAutospacing="0"/>
              <w:shd w:val="clear" w:color="auto" w:fill="ffffff"/>
              <w:rPr>
                <w:b w:val="0"/>
                <w:bCs w:val="0"/>
                <w:sz w:val="24"/>
                <w:szCs w:val="24"/>
              </w:rPr>
            </w:pPr>
            <w:r>
              <w:rPr>
                <w:b w:val="0"/>
                <w:bCs w:val="0"/>
                <w:sz w:val="24"/>
                <w:szCs w:val="24"/>
              </w:rPr>
              <w:t xml:space="preserve">Разделы и подразделы выполняются в соответствии с</w:t>
            </w:r>
            <w:r>
              <w:rPr>
                <w:b w:val="0"/>
                <w:sz w:val="24"/>
                <w:szCs w:val="24"/>
              </w:rPr>
              <w:t xml:space="preserve"> постановлением Правительства </w:t>
            </w:r>
            <w:r>
              <w:rPr>
                <w:b w:val="0"/>
                <w:bCs w:val="0"/>
                <w:sz w:val="24"/>
                <w:szCs w:val="24"/>
              </w:rPr>
              <w:t xml:space="preserve">Российской Федерации</w:t>
            </w:r>
            <w:r>
              <w:rPr>
                <w:b w:val="0"/>
                <w:sz w:val="24"/>
                <w:szCs w:val="24"/>
              </w:rPr>
              <w:t xml:space="preserve"> от 16</w:t>
            </w:r>
            <w:r>
              <w:rPr>
                <w:b w:val="0"/>
                <w:bCs w:val="0"/>
                <w:sz w:val="24"/>
                <w:szCs w:val="24"/>
              </w:rPr>
              <w:t xml:space="preserve"> февраля </w:t>
            </w:r>
            <w:r>
              <w:rPr>
                <w:b w:val="0"/>
                <w:sz w:val="24"/>
                <w:szCs w:val="24"/>
              </w:rPr>
              <w:t xml:space="preserve">2008</w:t>
            </w:r>
            <w:r>
              <w:rPr>
                <w:b w:val="0"/>
                <w:bCs w:val="0"/>
                <w:sz w:val="24"/>
                <w:szCs w:val="24"/>
              </w:rPr>
              <w:t xml:space="preserve"> </w:t>
            </w:r>
            <w:r>
              <w:rPr>
                <w:b w:val="0"/>
                <w:sz w:val="24"/>
                <w:szCs w:val="24"/>
              </w:rPr>
              <w:t xml:space="preserve">г</w:t>
            </w:r>
            <w:r>
              <w:rPr>
                <w:b w:val="0"/>
                <w:bCs w:val="0"/>
                <w:sz w:val="24"/>
                <w:szCs w:val="24"/>
              </w:rPr>
              <w:t xml:space="preserve">ода </w:t>
            </w:r>
            <w:r>
              <w:rPr>
                <w:b w:val="0"/>
                <w:sz w:val="24"/>
                <w:szCs w:val="24"/>
              </w:rPr>
              <w:t xml:space="preserve">№ 87 «О составе разделов проектной документа</w:t>
            </w:r>
            <w:r>
              <w:rPr>
                <w:b w:val="0"/>
                <w:sz w:val="24"/>
                <w:szCs w:val="24"/>
              </w:rPr>
              <w:t xml:space="preserve">ции</w:t>
            </w:r>
            <w:r>
              <w:rPr>
                <w:b w:val="0"/>
                <w:bCs w:val="0"/>
                <w:sz w:val="24"/>
                <w:szCs w:val="24"/>
              </w:rPr>
              <w:t xml:space="preserve"> и требованиях к их содержанию» в объеме, необходимом для выполнения работ по капитальному ремонту общего имущества многоквартирных домов.</w:t>
            </w:r>
            <w:r>
              <w:rPr>
                <w:b w:val="0"/>
                <w:bCs w:val="0"/>
                <w:sz w:val="24"/>
                <w:szCs w:val="24"/>
              </w:rPr>
            </w:r>
            <w:r>
              <w:rPr>
                <w:b w:val="0"/>
                <w:bCs w:val="0"/>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содержанию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Локальный сметный расчет составляется в соответствии с требованиями следующих нормативных документов (включая, но не ограничиваясь):</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МДС 81-35.2004 «Методика определения стоимости строительной продукции на территории Российской Федерации»;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rPr>
              <w:t xml:space="preserve">Методические рекомендации по применению федеральных единичных расценок на строительные, </w:t>
            </w:r>
            <w:r>
              <w:rPr>
                <w:rFonts w:ascii="Times New Roman" w:hAnsi="Times New Roman" w:cs="Times New Roman"/>
                <w:sz w:val="24"/>
                <w:szCs w:val="24"/>
              </w:rPr>
              <w:t xml:space="preserve">специальные строительные, ремонтно-строительные, монтаж оборудования и пусконаладочные работы, утвержденные </w:t>
            </w:r>
            <w:r>
              <w:rPr>
                <w:rFonts w:ascii="Times New Roman" w:hAnsi="Times New Roman" w:cs="Times New Roman"/>
                <w:sz w:val="24"/>
                <w:szCs w:val="24"/>
                <w:lang w:eastAsia="ru-RU"/>
              </w:rPr>
              <w:t xml:space="preserve">приказом Минстроя России</w:t>
            </w:r>
            <w:r>
              <w:rPr>
                <w:rFonts w:ascii="Times New Roman" w:hAnsi="Times New Roman" w:cs="Times New Roman"/>
                <w:sz w:val="24"/>
                <w:szCs w:val="24"/>
                <w:lang w:eastAsia="ru-RU"/>
              </w:rPr>
              <w:br/>
              <w:t xml:space="preserve">от 09 февраля 2017 года № 81/пр;</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w:t>
            </w:r>
            <w:r>
              <w:rPr>
                <w:rFonts w:ascii="Times New Roman" w:hAnsi="Times New Roman" w:cs="Times New Roman"/>
                <w:sz w:val="24"/>
                <w:szCs w:val="24"/>
                <w:lang w:eastAsia="ru-RU"/>
              </w:rPr>
              <w:t xml:space="preserve">етная документация составляется базисно-индексным методом с применением сборников ТЕР-2001 Забайкальского края (ред. 2014 г.).</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необходимых расценок рекомендуется </w:t>
            </w:r>
            <w:r>
              <w:rPr>
                <w:rFonts w:ascii="Times New Roman" w:hAnsi="Times New Roman" w:cs="Times New Roman"/>
                <w:sz w:val="24"/>
                <w:szCs w:val="24"/>
                <w:u w:val="single"/>
                <w:lang w:eastAsia="ru-RU"/>
              </w:rPr>
              <w:t xml:space="preserve">в исключительных случаях</w:t>
            </w:r>
            <w:r>
              <w:rPr>
                <w:rFonts w:ascii="Times New Roman" w:hAnsi="Times New Roman" w:cs="Times New Roman"/>
                <w:sz w:val="24"/>
                <w:szCs w:val="24"/>
                <w:lang w:eastAsia="ru-RU"/>
              </w:rPr>
              <w:t xml:space="preserve"> по согласованию с Заказчиком </w:t>
            </w:r>
            <w:r>
              <w:rPr>
                <w:rFonts w:ascii="Times New Roman" w:hAnsi="Times New Roman" w:cs="Times New Roman"/>
                <w:sz w:val="24"/>
                <w:szCs w:val="24"/>
                <w:u w:val="single"/>
                <w:lang w:eastAsia="ru-RU"/>
              </w:rPr>
              <w:t xml:space="preserve">для перевода расцено</w:t>
            </w:r>
            <w:r>
              <w:rPr>
                <w:rFonts w:ascii="Times New Roman" w:hAnsi="Times New Roman" w:cs="Times New Roman"/>
                <w:sz w:val="24"/>
                <w:szCs w:val="24"/>
                <w:u w:val="single"/>
                <w:lang w:eastAsia="ru-RU"/>
              </w:rPr>
              <w:t xml:space="preserve">к из ФЕР-2001 (в редакции 2017 года)</w:t>
            </w:r>
            <w:r>
              <w:rPr>
                <w:rFonts w:ascii="Times New Roman" w:hAnsi="Times New Roman" w:cs="Times New Roman"/>
                <w:sz w:val="24"/>
                <w:szCs w:val="24"/>
                <w:lang w:eastAsia="ru-RU"/>
              </w:rPr>
              <w:t xml:space="preserve"> в ТЕР-2001 Забайкальского края (в редакции 2014 года) применять к элементам прямых затрат следующие поправочные коэффициенты:</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материалам – 1,2;</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стоимости эксплуатации машин – 1,11;</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оплате труда – 0,9.</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стоимости материалов в территориальных (федеральных) сборниках сметных цен рекомендуется применять текущие стоимости материалов на основании мониторинга (каталога «ЧитаСтройИнформ») или прайс-листов с переводом обратным счетом в соответ</w:t>
            </w:r>
            <w:r>
              <w:rPr>
                <w:rFonts w:ascii="Times New Roman" w:hAnsi="Times New Roman" w:cs="Times New Roman"/>
                <w:sz w:val="24"/>
                <w:szCs w:val="24"/>
                <w:lang w:eastAsia="ru-RU"/>
              </w:rPr>
              <w:t xml:space="preserve">ствующий базисный уровень цен с индексами, применяемыми в смете на текущий период времени.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Накладные расходы и сметную прибыль учитываются по нормам на виды работ в процентах от фонда оплаты труда в соответствии с МДС-81-33.2004 «Методические указания по о</w:t>
            </w:r>
            <w:r>
              <w:rPr>
                <w:rFonts w:eastAsiaTheme="minorHAnsi"/>
                <w:b w:val="0"/>
                <w:bCs w:val="0"/>
                <w:sz w:val="24"/>
                <w:szCs w:val="24"/>
              </w:rPr>
              <w:t xml:space="preserve">пределению величины накладных расходов в строительстве» и МДС 81-25.2001 «Методические указания по определению </w:t>
            </w:r>
            <w:r>
              <w:rPr>
                <w:b w:val="0"/>
                <w:bCs w:val="0"/>
                <w:sz w:val="24"/>
                <w:szCs w:val="24"/>
              </w:rPr>
              <w:t xml:space="preserve">по определению величины сметной прибыли в строительстве</w:t>
            </w:r>
            <w:r>
              <w:rPr>
                <w:rFonts w:eastAsiaTheme="minorHAnsi"/>
                <w:b w:val="0"/>
                <w:bCs w:val="0"/>
                <w:sz w:val="24"/>
                <w:szCs w:val="24"/>
              </w:rPr>
              <w:t xml:space="preserve">» с учетом писем Росстроя от 31.01.2005 № ЮТ-260/06 «О порядке применения нормативов накла</w:t>
            </w:r>
            <w:r>
              <w:rPr>
                <w:rFonts w:eastAsiaTheme="minorHAnsi"/>
                <w:b w:val="0"/>
                <w:bCs w:val="0"/>
                <w:sz w:val="24"/>
                <w:szCs w:val="24"/>
              </w:rPr>
              <w:t xml:space="preserve">дных расходов в строительстве», от 18.11.2004 № АП-5536/06, письма Госстроя РФ от 27.11.2012 № 2536-ИП/12/ГС, писем Минрегионразвития РФ от 21.02.2011 № 3757-КК/08, от 17.03.2011 № 6056-ИП/08 и др.</w:t>
            </w:r>
            <w:r>
              <w:rPr>
                <w:rFonts w:eastAsiaTheme="minorHAnsi"/>
                <w:b w:val="0"/>
                <w:bCs w:val="0"/>
                <w:sz w:val="24"/>
                <w:szCs w:val="24"/>
              </w:rPr>
            </w:r>
            <w:r>
              <w:rPr>
                <w:rFonts w:eastAsiaTheme="minorHAnsi"/>
                <w:b w:val="0"/>
                <w:bCs w:val="0"/>
                <w:sz w:val="24"/>
                <w:szCs w:val="24"/>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В состав сводного сметного расчета включаются прочие необх</w:t>
            </w:r>
            <w:r>
              <w:rPr>
                <w:rFonts w:eastAsiaTheme="minorHAnsi"/>
                <w:b w:val="0"/>
                <w:bCs w:val="0"/>
                <w:sz w:val="24"/>
                <w:szCs w:val="24"/>
              </w:rPr>
              <w:t xml:space="preserve">одимые затраты в соответствии с МДС 81-35.2004 </w:t>
            </w:r>
            <w:r>
              <w:rPr>
                <w:b w:val="0"/>
                <w:sz w:val="24"/>
                <w:szCs w:val="24"/>
              </w:rPr>
              <w:t xml:space="preserve">«Методика определения стоимости строительной продукции на территории Российской Федерации».</w:t>
            </w:r>
            <w:r>
              <w:rPr>
                <w:rFonts w:eastAsiaTheme="minorHAnsi"/>
                <w:b w:val="0"/>
                <w:bCs w:val="0"/>
                <w:sz w:val="24"/>
                <w:szCs w:val="24"/>
              </w:rPr>
            </w:r>
            <w:r>
              <w:rPr>
                <w:rFonts w:eastAsiaTheme="minorHAnsi"/>
                <w:b w:val="0"/>
                <w:bCs w:val="0"/>
                <w:sz w:val="24"/>
                <w:szCs w:val="24"/>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расчете затрат на проведение строительного контроля следует руководствоваться постановлением Правительства Россий</w:t>
            </w:r>
            <w:r>
              <w:rPr>
                <w:rFonts w:ascii="Times New Roman" w:hAnsi="Times New Roman" w:cs="Times New Roman"/>
                <w:sz w:val="24"/>
                <w:szCs w:val="24"/>
                <w:lang w:eastAsia="ru-RU"/>
              </w:rPr>
              <w:t xml:space="preserve">ской Федерации от 21.06.2010 № 468.</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Резерв средств на непредвиденные работы и затраты </w:t>
            </w:r>
            <w:r>
              <w:rPr>
                <w:rFonts w:ascii="Times New Roman" w:hAnsi="Times New Roman" w:eastAsia="Times New Roman" w:cs="Times New Roman"/>
                <w:color w:val="000000"/>
                <w:sz w:val="24"/>
                <w:szCs w:val="24"/>
                <w:shd w:val="clear" w:color="auto" w:fill="ffffff"/>
                <w:lang w:eastAsia="ru-RU"/>
              </w:rPr>
              <w:t xml:space="preserve">предусматривается в сводном сметном расчете по нормам п. 4.96 МДС 81-35.2004 «Методика определения стоимости строительной продукции на территории Российской Федерации» (в</w:t>
            </w:r>
            <w:r>
              <w:rPr>
                <w:rFonts w:ascii="Times New Roman" w:hAnsi="Times New Roman" w:eastAsia="Times New Roman" w:cs="Times New Roman"/>
                <w:color w:val="000000"/>
                <w:sz w:val="24"/>
                <w:szCs w:val="24"/>
                <w:shd w:val="clear" w:color="auto" w:fill="ffffff"/>
                <w:lang w:eastAsia="ru-RU"/>
              </w:rPr>
              <w:t xml:space="preserve"> редакции приказа Минрегиона России от 01.06.2012 № 220).</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НДС учитывается в сметах и начисляется в актах за выполненные работы по итогу всей сметной стоимости.</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Сметная стоимость работ по капитальному ремонту не должна превышать размера предельной стоимости</w:t>
            </w:r>
            <w:r>
              <w:rPr>
                <w:rFonts w:ascii="Times New Roman" w:hAnsi="Times New Roman" w:cs="Times New Roman"/>
                <w:sz w:val="24"/>
                <w:szCs w:val="24"/>
                <w:lang w:eastAsia="ru-RU"/>
              </w:rPr>
              <w:t xml:space="preserve">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Pr>
                <w:rFonts w:ascii="Times New Roman" w:hAnsi="Times New Roman" w:cs="Times New Roman"/>
                <w:sz w:val="24"/>
                <w:szCs w:val="24"/>
                <w:lang w:eastAsia="ru-RU"/>
              </w:rPr>
              <w:t xml:space="preserve"> (предельная стоимость услуг и (или) работ по капитальному ремонту общего имущества в многоквартирном доме, расположенном на территории Забайкальского края, установлена в соответствии с частью 4 статьи 190 Жилищного кодекса Российской Федерации нормативным</w:t>
            </w:r>
            <w:r>
              <w:rPr>
                <w:rFonts w:ascii="Times New Roman" w:hAnsi="Times New Roman" w:cs="Times New Roman"/>
                <w:sz w:val="24"/>
                <w:szCs w:val="24"/>
                <w:lang w:eastAsia="ru-RU"/>
              </w:rPr>
              <w:t xml:space="preserve"> правовым актом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pStyle w:val="923"/>
        <w:numPr>
          <w:ilvl w:val="0"/>
          <w:numId w:val="26"/>
        </w:num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19"/>
        <w:tblW w:w="4944" w:type="pct"/>
        <w:tblInd w:w="108" w:type="dxa"/>
        <w:tblLook w:val="04A0" w:firstRow="1" w:lastRow="0" w:firstColumn="1" w:lastColumn="0" w:noHBand="0" w:noVBand="1"/>
      </w:tblPr>
      <w:tblGrid>
        <w:gridCol w:w="560"/>
        <w:gridCol w:w="2157"/>
        <w:gridCol w:w="6746"/>
      </w:tblGrid>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r>
              <w:rPr>
                <w:rFonts w:ascii="Times New Roman" w:hAnsi="Times New Roman" w:eastAsia="Calibri" w:cs="Times New Roman"/>
                <w:b/>
                <w:sz w:val="24"/>
                <w:szCs w:val="24"/>
              </w:rPr>
            </w:r>
          </w:p>
        </w:tc>
      </w:tr>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w:t>
            </w:r>
            <w:r>
              <w:rPr>
                <w:rFonts w:ascii="Times New Roman" w:hAnsi="Times New Roman" w:eastAsia="Calibri" w:cs="Times New Roman"/>
                <w:sz w:val="24"/>
                <w:szCs w:val="24"/>
              </w:rPr>
              <w:t xml:space="preserve">будет размещен в составе документации об электронном аукционе на оказание услуг и (или) выполнение работ по капитальному ремонту общего имущества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highlight w:val="white"/>
              </w:rPr>
            </w:pPr>
            <w:r>
              <w:rPr>
                <w:rFonts w:ascii="Times New Roman" w:hAnsi="Times New Roman" w:eastAsia="Calibri" w:cs="Times New Roman"/>
                <w:sz w:val="24"/>
                <w:szCs w:val="24"/>
              </w:rPr>
              <w:t xml:space="preserve">Предметом договора </w:t>
            </w:r>
            <w:r>
              <w:rPr>
                <w:rFonts w:ascii="Times New Roman" w:hAnsi="Times New Roman" w:eastAsia="Calibri" w:cs="Times New Roman"/>
                <w:sz w:val="24"/>
                <w:szCs w:val="24"/>
              </w:rPr>
              <w:t xml:space="preserve">о проведении капитального ремонта является </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w:t>
            </w:r>
            <w:r>
              <w:rPr>
                <w:rFonts w:ascii="Times New Roman" w:hAnsi="Times New Roman" w:eastAsia="Calibri" w:cs="Times New Roman"/>
                <w:sz w:val="24"/>
                <w:szCs w:val="24"/>
              </w:rPr>
              <w:t xml:space="preserve">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Министерства жилищно-коммунального хозяйства, энергетики, цифровизации и связи Забайкальского края в информационно-телек</w:t>
            </w:r>
            <w:r>
              <w:rPr>
                <w:rFonts w:ascii="Times New Roman" w:hAnsi="Times New Roman" w:eastAsia="Calibri" w:cs="Times New Roman"/>
                <w:sz w:val="24"/>
                <w:szCs w:val="24"/>
              </w:rPr>
              <w:t xml:space="preserve">оммуникационной сети «Интернет» http://минэнерго.забайкальскийкрай.рф/.</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 может быть увеличена по соглашению сторон в ходе его исполнения, но не более чем на 1</w:t>
            </w:r>
            <w:r>
              <w:rPr>
                <w:rFonts w:ascii="Times New Roman" w:hAnsi="Times New Roman" w:eastAsia="Calibri" w:cs="Times New Roman"/>
                <w:sz w:val="24"/>
                <w:szCs w:val="24"/>
              </w:rPr>
              <w:t xml:space="preserve">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w:t>
            </w:r>
            <w:r>
              <w:rPr>
                <w:rFonts w:ascii="Times New Roman" w:hAnsi="Times New Roman" w:eastAsia="Calibri" w:cs="Times New Roman"/>
                <w:sz w:val="24"/>
                <w:szCs w:val="24"/>
              </w:rPr>
              <w:t xml:space="preserve">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bookmarkStart w:id="1" w:name="Par0"/>
            <w:r/>
            <w:bookmarkEnd w:id="1"/>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выполненных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w:t>
            </w:r>
            <w:r>
              <w:rPr>
                <w:rFonts w:ascii="Times New Roman" w:hAnsi="Times New Roman" w:cs="Times New Roman"/>
                <w:sz w:val="24"/>
                <w:szCs w:val="24"/>
              </w:rPr>
              <w:t xml:space="preserve">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Для проверки с</w:t>
            </w:r>
            <w:r>
              <w:rPr>
                <w:rFonts w:ascii="Times New Roman" w:hAnsi="Times New Roman" w:cs="Times New Roman"/>
                <w:sz w:val="24"/>
                <w:szCs w:val="24"/>
              </w:rPr>
              <w:t xml:space="preserve">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w:t>
            </w:r>
            <w:r>
              <w:rPr>
                <w:rFonts w:ascii="Times New Roman" w:hAnsi="Times New Roman" w:cs="Times New Roman"/>
                <w:sz w:val="24"/>
                <w:szCs w:val="24"/>
              </w:rPr>
              <w:t xml:space="preserve">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w:t>
            </w:r>
            <w:r>
              <w:rPr>
                <w:rFonts w:ascii="Times New Roman" w:hAnsi="Times New Roman" w:cs="Times New Roman"/>
                <w:sz w:val="24"/>
                <w:szCs w:val="24"/>
              </w:rPr>
              <w:t xml:space="preserve">многоквартирном доме проводится на основании решения собств</w:t>
            </w:r>
            <w:r>
              <w:rPr>
                <w:rFonts w:ascii="Times New Roman" w:hAnsi="Times New Roman" w:cs="Times New Roman"/>
                <w:sz w:val="24"/>
                <w:szCs w:val="24"/>
              </w:rPr>
              <w:t xml:space="preserve">енников помещений в этом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Заказчику комплект исполнительной документации на оказанные услуги и (или) выполненные работы в соответствии с Требованиями к составу и порядку ведения</w:t>
            </w:r>
            <w:r>
              <w:rPr>
                <w:rFonts w:ascii="Times New Roman" w:hAnsi="Times New Roman" w:cs="Times New Roman"/>
                <w:sz w:val="24"/>
                <w:szCs w:val="24"/>
              </w:rPr>
              <w:t xml:space="preserve"> исполнительной документации при строительстве, реконструкции, капитальном ремонте объектов капитального строительства и требованиям, предъявляемым к актам освидетельствования услуг и (или) работ, конструкций, участков сетей инженерно-технического обеспече</w:t>
            </w:r>
            <w:r>
              <w:rPr>
                <w:rFonts w:ascii="Times New Roman" w:hAnsi="Times New Roman" w:cs="Times New Roman"/>
                <w:sz w:val="24"/>
                <w:szCs w:val="24"/>
              </w:rPr>
              <w:t xml:space="preserve">ния (РД-11-02-2006), утвержденными приказом Федеральной службы по экологическому, технологическому и атомному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w:t>
            </w:r>
            <w:r>
              <w:rPr>
                <w:rFonts w:ascii="Times New Roman" w:hAnsi="Times New Roman" w:eastAsia="Calibri" w:cs="Times New Roman"/>
                <w:sz w:val="24"/>
                <w:szCs w:val="24"/>
              </w:rPr>
              <w:t xml:space="preserve">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территории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 банковской гарантией, выданной банком, включенным в перечень банков, </w:t>
            </w:r>
            <w:r>
              <w:rPr>
                <w:rFonts w:ascii="Times New Roman" w:hAnsi="Times New Roman" w:cs="Times New Roman"/>
                <w:sz w:val="24"/>
                <w:szCs w:val="24"/>
              </w:rPr>
              <w:t xml:space="preserve">соответствующим требованиям, установленным Правительством Российской Федерации в соответствии с частью 1 статьи 45 Федерального закона</w:t>
            </w:r>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банковская гарантия);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пунктом 206 Положения о привлечении специализированной некоммерческой организацией, осуществляющей деятельность, нап</w:t>
            </w:r>
            <w:r>
              <w:rPr>
                <w:rFonts w:ascii="Times New Roman" w:hAnsi="Times New Roman" w:eastAsia="Times New Roman" w:cs="Times New Roman"/>
                <w:sz w:val="24"/>
                <w:szCs w:val="24"/>
                <w:lang w:eastAsia="ru-RU"/>
              </w:rPr>
              <w:t xml:space="preserve">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w:t>
            </w:r>
            <w:r>
              <w:rPr>
                <w:rFonts w:ascii="Times New Roman" w:hAnsi="Times New Roman" w:eastAsia="Times New Roman" w:cs="Times New Roman"/>
                <w:sz w:val="24"/>
                <w:szCs w:val="24"/>
                <w:lang w:eastAsia="ru-RU"/>
              </w:rPr>
              <w:t xml:space="preserve">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w:t>
            </w:r>
            <w:r>
              <w:rPr>
                <w:rFonts w:ascii="Times New Roman" w:hAnsi="Times New Roman" w:cs="Times New Roman"/>
                <w:sz w:val="24"/>
                <w:szCs w:val="24"/>
              </w:rPr>
              <w:t xml:space="preserve">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pStyle w:val="922"/>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rHeight w:val="537"/>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8"/>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w:t>
            </w:r>
            <w:r>
              <w:rPr>
                <w:rFonts w:ascii="Times New Roman" w:hAnsi="Times New Roman" w:eastAsia="Times New Roman" w:cs="Times New Roman"/>
                <w:sz w:val="24"/>
                <w:szCs w:val="24"/>
                <w:lang w:eastAsia="ru-RU"/>
              </w:rPr>
              <w:t xml:space="preserve">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w:t>
            </w:r>
            <w:r>
              <w:rPr>
                <w:rFonts w:ascii="Times New Roman" w:hAnsi="Times New Roman" w:cs="Times New Roman"/>
                <w:sz w:val="24"/>
                <w:szCs w:val="24"/>
              </w:rPr>
              <w:t xml:space="preserve">ичии документов, подтверждающих такие обстоятельства: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w:t>
            </w:r>
            <w:r>
              <w:rPr>
                <w:rFonts w:ascii="Times New Roman" w:hAnsi="Times New Roman" w:cs="Times New Roman"/>
                <w:sz w:val="24"/>
                <w:szCs w:val="24"/>
              </w:rPr>
              <w:t xml:space="preserve">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w:t>
            </w:r>
            <w:r>
              <w:rPr>
                <w:rFonts w:ascii="Times New Roman" w:hAnsi="Times New Roman" w:cs="Times New Roman"/>
                <w:sz w:val="24"/>
                <w:szCs w:val="24"/>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w:t>
            </w:r>
            <w:r>
              <w:rPr>
                <w:rFonts w:ascii="Times New Roman" w:hAnsi="Times New Roman" w:cs="Times New Roman"/>
                <w:sz w:val="24"/>
                <w:szCs w:val="24"/>
              </w:rPr>
              <w:t xml:space="preserve"> по капитальному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w:t>
            </w:r>
            <w:r>
              <w:rPr>
                <w:rFonts w:ascii="Times New Roman" w:hAnsi="Times New Roman" w:eastAsia="Times New Roman" w:cs="Times New Roman"/>
                <w:sz w:val="24"/>
                <w:szCs w:val="24"/>
                <w:lang w:eastAsia="ru-RU"/>
              </w:rPr>
              <w:t xml:space="preserve">яется правопреемником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w:t>
            </w:r>
            <w:r>
              <w:rPr>
                <w:rFonts w:ascii="Times New Roman" w:hAnsi="Times New Roman" w:eastAsia="Times New Roman" w:cs="Times New Roman"/>
                <w:sz w:val="24"/>
                <w:szCs w:val="24"/>
                <w:lang w:eastAsia="ru-RU"/>
              </w:rPr>
              <w:t xml:space="preserve">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w:t>
            </w:r>
            <w:r>
              <w:rPr>
                <w:rFonts w:ascii="Times New Roman" w:hAnsi="Times New Roman" w:eastAsia="Calibri" w:cs="Times New Roman"/>
                <w:sz w:val="24"/>
                <w:szCs w:val="24"/>
              </w:rPr>
              <w:t xml:space="preserve">ремонта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w:t>
            </w:r>
            <w:r>
              <w:rPr>
                <w:rFonts w:ascii="Times New Roman" w:hAnsi="Times New Roman" w:cs="Times New Roman"/>
                <w:sz w:val="24"/>
                <w:szCs w:val="24"/>
              </w:rPr>
              <w:t xml:space="preserve">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календарных дней по любому из многоквартирных домов;</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w:t>
            </w:r>
            <w:r>
              <w:rPr>
                <w:rFonts w:ascii="Times New Roman" w:hAnsi="Times New Roman" w:cs="Times New Roman"/>
                <w:sz w:val="24"/>
                <w:szCs w:val="24"/>
              </w:rPr>
              <w:t xml:space="preserve">ии, банкротстве или ликвидации банка-гаранта более чем на 2 рабочих дня;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w:t>
            </w:r>
            <w:r>
              <w:rPr>
                <w:rFonts w:ascii="Times New Roman" w:hAnsi="Times New Roman" w:cs="Times New Roman"/>
                <w:sz w:val="24"/>
                <w:szCs w:val="24"/>
              </w:rPr>
              <w:t xml:space="preserve">оддельных документов, получение от банка-гаранта опровержения выдачи банковской гарантии подрядной </w:t>
            </w:r>
            <w:r>
              <w:rPr>
                <w:rFonts w:ascii="Times New Roman" w:hAnsi="Times New Roman" w:cs="Times New Roman"/>
                <w:sz w:val="24"/>
                <w:szCs w:val="24"/>
              </w:rPr>
              <w:t xml:space="preserve">организации в письменной форме);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w:t>
            </w:r>
            <w:r>
              <w:rPr>
                <w:rFonts w:ascii="Times New Roman" w:hAnsi="Times New Roman" w:cs="Times New Roman"/>
                <w:sz w:val="24"/>
                <w:szCs w:val="24"/>
              </w:rPr>
              <w:t xml:space="preserve">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tc>
      </w:tr>
    </w:tbl>
    <w:p>
      <w:pPr>
        <w:spacing w:after="0" w:line="240" w:lineRule="auto"/>
        <w:tabs>
          <w:tab w:val="left" w:pos="426" w:leader="none"/>
        </w:tabs>
        <w:rPr>
          <w:rFonts w:ascii="Times New Roman" w:hAnsi="Times New Roman" w:eastAsia="Calibri" w:cs="Times New Roman"/>
          <w:b/>
          <w:sz w:val="20"/>
          <w:szCs w:val="24"/>
        </w:rPr>
      </w:pPr>
      <w:r>
        <w:rPr>
          <w:rFonts w:ascii="Times New Roman" w:hAnsi="Times New Roman" w:eastAsia="Calibri" w:cs="Times New Roman"/>
          <w:b/>
          <w:sz w:val="20"/>
          <w:szCs w:val="24"/>
        </w:rPr>
      </w:r>
      <w:r>
        <w:rPr>
          <w:rFonts w:ascii="Times New Roman" w:hAnsi="Times New Roman" w:eastAsia="Calibri" w:cs="Times New Roman"/>
          <w:b/>
          <w:sz w:val="20"/>
          <w:szCs w:val="24"/>
        </w:rPr>
      </w:r>
      <w:r>
        <w:rPr>
          <w:rFonts w:ascii="Times New Roman" w:hAnsi="Times New Roman" w:eastAsia="Calibri" w:cs="Times New Roman"/>
          <w:b/>
          <w:sz w:val="20"/>
          <w:szCs w:val="24"/>
        </w:rPr>
      </w:r>
    </w:p>
    <w:p>
      <w:pPr>
        <w:pStyle w:val="923"/>
        <w:numPr>
          <w:ilvl w:val="0"/>
          <w:numId w:val="26"/>
        </w:num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w:t>
      </w:r>
      <w:r>
        <w:rPr>
          <w:rFonts w:ascii="Times New Roman" w:hAnsi="Times New Roman" w:eastAsia="Calibri" w:cs="Times New Roman"/>
          <w:b/>
          <w:sz w:val="24"/>
          <w:szCs w:val="24"/>
        </w:rPr>
        <w:t xml:space="preserve">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pStyle w:val="923"/>
        <w:ind w:left="1080"/>
        <w:jc w:val="both"/>
        <w:spacing w:after="0" w:line="240" w:lineRule="auto"/>
        <w:tabs>
          <w:tab w:val="left" w:pos="993" w:leader="none"/>
        </w:tabs>
        <w:rPr>
          <w:rFonts w:ascii="Times New Roman" w:hAnsi="Times New Roman" w:eastAsia="Calibri" w:cs="Times New Roman"/>
          <w:sz w:val="18"/>
          <w:szCs w:val="24"/>
        </w:rPr>
      </w:pPr>
      <w:r>
        <w:rPr>
          <w:rFonts w:ascii="Times New Roman" w:hAnsi="Times New Roman" w:eastAsia="Calibri" w:cs="Times New Roman"/>
          <w:sz w:val="18"/>
          <w:szCs w:val="24"/>
        </w:rPr>
      </w:r>
      <w:r>
        <w:rPr>
          <w:rFonts w:ascii="Times New Roman" w:hAnsi="Times New Roman" w:eastAsia="Calibri" w:cs="Times New Roman"/>
          <w:sz w:val="18"/>
          <w:szCs w:val="24"/>
        </w:rPr>
      </w:r>
      <w:r>
        <w:rPr>
          <w:rFonts w:ascii="Times New Roman" w:hAnsi="Times New Roman" w:eastAsia="Calibri" w:cs="Times New Roman"/>
          <w:sz w:val="18"/>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адресные перечни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084" w:type="pct"/>
            <w:vAlign w:val="center"/>
            <w:textDirection w:val="lrTb"/>
            <w:noWrap w:val="false"/>
          </w:tcPr>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на </w:t>
            </w:r>
            <w:r>
              <w:rPr>
                <w:rFonts w:ascii="Times New Roman" w:hAnsi="Times New Roman" w:cs="Times New Roman"/>
                <w:sz w:val="24"/>
                <w:szCs w:val="24"/>
              </w:rPr>
              <w:t xml:space="preserve">оказание услуг и (или) выполнение работ </w:t>
            </w:r>
            <w:r>
              <w:rPr>
                <w:rFonts w:ascii="Times New Roman" w:hAnsi="Times New Roman" w:eastAsia="Calibri" w:cs="Times New Roman"/>
                <w:sz w:val="24"/>
                <w:szCs w:val="24"/>
              </w:rPr>
              <w:t xml:space="preserve">в которых в дальнейшем будет проводиться электронный аукцион</w:t>
            </w:r>
            <w:r>
              <w:rPr>
                <w:rFonts w:ascii="Times New Roman" w:hAnsi="Times New Roman" w:eastAsia="Calibri" w:cs="Times New Roman"/>
                <w:sz w:val="24"/>
                <w:szCs w:val="24"/>
              </w:rPr>
              <w:t xml:space="preserve">, размещен на сайте органа по ведению РКПО</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многоквартирных домов» / «Предварительный отбор подрядных организаций»</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pStyle w:val="923"/>
        <w:ind w:left="0"/>
        <w:jc w:val="both"/>
        <w:spacing w:after="0" w:line="240" w:lineRule="auto"/>
        <w:tabs>
          <w:tab w:val="left" w:pos="0"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p>
      <w:pPr>
        <w:numPr>
          <w:ilvl w:val="0"/>
          <w:numId w:val="26"/>
        </w:numPr>
        <w:ind w:left="0" w:firstLine="0"/>
        <w:jc w:val="center"/>
        <w:spacing w:after="0" w:line="240" w:lineRule="auto"/>
        <w:tabs>
          <w:tab w:val="left" w:pos="0" w:leader="none"/>
          <w:tab w:val="left" w:pos="426"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w:t>
      </w:r>
      <w:r>
        <w:rPr>
          <w:rFonts w:ascii="Times New Roman" w:hAnsi="Times New Roman" w:eastAsia="Calibri" w:cs="Times New Roman"/>
          <w:b/>
          <w:sz w:val="24"/>
          <w:szCs w:val="24"/>
        </w:rPr>
        <w:t xml:space="preserve">тникам предварительного отбора, установленные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572"/>
        <w:spacing w:after="0" w:line="240" w:lineRule="auto"/>
        <w:tabs>
          <w:tab w:val="left" w:pos="284"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Borders>
              <w:bottom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84"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color w:val="111111"/>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саморегулируемых организациях в области архитектурно-строительного проектирования. </w:t>
            </w:r>
            <w:r>
              <w:rPr>
                <w:rFonts w:ascii="Times New Roman" w:hAnsi="Times New Roman" w:cs="Times New Roman"/>
                <w:sz w:val="24"/>
                <w:szCs w:val="24"/>
              </w:rPr>
              <w:t xml:space="preserve">При этом указанное требование не применяется к участникам предварительного отбора, являющимся лицами, указанными в пункте 1 части 2.2 статьи 52 Градостроительного кодекса Российской Федерации</w:t>
            </w:r>
            <w:r>
              <w:rPr>
                <w:rStyle w:val="942"/>
                <w:rFonts w:ascii="Times New Roman" w:hAnsi="Times New Roman" w:cs="Times New Roman"/>
                <w:b w:val="0"/>
                <w:bCs w:val="0"/>
                <w:color w:val="111111"/>
                <w:sz w:val="24"/>
                <w:szCs w:val="24"/>
              </w:rPr>
              <w:t xml:space="preserve">;</w:t>
            </w:r>
            <w:r>
              <w:rPr>
                <w:rFonts w:ascii="Times New Roman" w:hAnsi="Times New Roman" w:cs="Times New Roman"/>
                <w:color w:val="111111"/>
                <w:sz w:val="24"/>
                <w:szCs w:val="24"/>
              </w:rPr>
            </w:r>
            <w:r>
              <w:rPr>
                <w:rFonts w:ascii="Times New Roman" w:hAnsi="Times New Roman" w:cs="Times New Roman"/>
                <w:color w:val="111111"/>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 </w:t>
            </w:r>
            <w:r>
              <w:rPr>
                <w:rFonts w:ascii="Times New Roman" w:hAnsi="Times New Roman" w:eastAsia="Calibri" w:cs="Times New Roman"/>
                <w:sz w:val="24"/>
                <w:szCs w:val="24"/>
              </w:rPr>
              <w:t xml:space="preserve">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w:t>
            </w:r>
            <w:r>
              <w:rPr>
                <w:rFonts w:ascii="Times New Roman" w:hAnsi="Times New Roman" w:eastAsia="Calibri" w:cs="Times New Roman"/>
                <w:sz w:val="24"/>
                <w:szCs w:val="24"/>
              </w:rPr>
              <w:t xml:space="preserve">ты бюджетной системы Российской Федерации в соответствии с </w:t>
            </w:r>
            <w:r>
              <w:rPr>
                <w:rFonts w:ascii="Times New Roman" w:hAnsi="Times New Roman" w:eastAsia="Calibri" w:cs="Times New Roman"/>
                <w:sz w:val="24"/>
                <w:szCs w:val="24"/>
              </w:rPr>
              <w:t xml:space="preserve">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w:t>
            </w:r>
            <w:r>
              <w:rPr>
                <w:rFonts w:ascii="Times New Roman" w:hAnsi="Times New Roman" w:eastAsia="Calibri" w:cs="Times New Roman"/>
                <w:sz w:val="24"/>
                <w:szCs w:val="24"/>
              </w:rPr>
              <w:t xml:space="preserve">ения указанной заявки не вступило в законную силу;</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w:t>
            </w:r>
            <w:r>
              <w:rPr>
                <w:rFonts w:ascii="Times New Roman" w:hAnsi="Times New Roman" w:cs="Times New Roman"/>
                <w:sz w:val="24"/>
                <w:szCs w:val="24"/>
              </w:rPr>
              <w:t xml:space="preserve">строительству, реконструкции и (или) капитальному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w:t>
            </w:r>
            <w:r>
              <w:rPr>
                <w:rFonts w:ascii="Times New Roman" w:hAnsi="Times New Roman" w:cs="Times New Roman"/>
                <w:sz w:val="24"/>
                <w:szCs w:val="24"/>
              </w:rPr>
              <w:t xml:space="preserve">орон такого контракта или договора в случае существенных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процедуры проведения ликвидации в отношении Участника или отсутствие решения арбитражного суда о признании Участника банкрото</w:t>
            </w:r>
            <w:r>
              <w:rPr>
                <w:rFonts w:ascii="Times New Roman" w:hAnsi="Times New Roman" w:eastAsia="Calibri" w:cs="Times New Roman"/>
                <w:sz w:val="24"/>
                <w:szCs w:val="24"/>
              </w:rPr>
              <w:t xml:space="preserve">м и об открытии конкурсного производства;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w:t>
            </w:r>
            <w:r>
              <w:rPr>
                <w:rFonts w:ascii="Times New Roman" w:hAnsi="Times New Roman" w:eastAsia="Calibri" w:cs="Times New Roman"/>
                <w:sz w:val="24"/>
                <w:szCs w:val="24"/>
              </w:rPr>
              <w:t xml:space="preserve">отсутствие конфликта интересов, то есть </w:t>
            </w:r>
            <w:r>
              <w:rPr>
                <w:rFonts w:ascii="Times New Roman" w:hAnsi="Times New Roman" w:cs="Times New Roman"/>
                <w:sz w:val="24"/>
                <w:szCs w:val="24"/>
              </w:rPr>
              <w:t xml:space="preserve">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w:t>
            </w:r>
            <w:r>
              <w:rPr>
                <w:rFonts w:ascii="Times New Roman" w:hAnsi="Times New Roman" w:cs="Times New Roman"/>
                <w:sz w:val="24"/>
                <w:szCs w:val="24"/>
              </w:rPr>
              <w:t xml:space="preserve">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w:t>
            </w:r>
            <w:r>
              <w:rPr>
                <w:rFonts w:ascii="Times New Roman" w:hAnsi="Times New Roman" w:cs="Times New Roman"/>
                <w:sz w:val="24"/>
                <w:szCs w:val="24"/>
              </w:rPr>
              <w:t xml:space="preserve">и унитарного предприятия либо иных органов управления юридического лица - Участника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w:t>
            </w:r>
            <w:r>
              <w:rPr>
                <w:rFonts w:ascii="Times New Roman" w:hAnsi="Times New Roman" w:cs="Times New Roman"/>
                <w:sz w:val="24"/>
                <w:szCs w:val="24"/>
              </w:rPr>
              <w:t xml:space="preserve">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w:t>
            </w:r>
            <w:r>
              <w:rPr>
                <w:rFonts w:ascii="Times New Roman" w:hAnsi="Times New Roman" w:cs="Times New Roman"/>
                <w:sz w:val="24"/>
                <w:szCs w:val="24"/>
              </w:rPr>
              <w:t xml:space="preserve">ических </w:t>
            </w:r>
            <w:r>
              <w:rPr>
                <w:rFonts w:ascii="Times New Roman" w:hAnsi="Times New Roman" w:cs="Times New Roman"/>
                <w:sz w:val="24"/>
                <w:szCs w:val="24"/>
              </w:rPr>
              <w:t xml:space="preserve">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неприменение в отношении Участника – физического лица либо руководителя, ч</w:t>
            </w:r>
            <w:r>
              <w:rPr>
                <w:rFonts w:ascii="Times New Roman" w:hAnsi="Times New Roman" w:eastAsia="Calibri" w:cs="Times New Roman"/>
                <w:sz w:val="24"/>
                <w:szCs w:val="24"/>
              </w:rPr>
              <w:t xml:space="preserve">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w:t>
            </w:r>
            <w:r>
              <w:rPr>
                <w:rFonts w:ascii="Times New Roman" w:hAnsi="Times New Roman" w:eastAsia="Calibri" w:cs="Times New Roman"/>
                <w:sz w:val="24"/>
                <w:szCs w:val="24"/>
              </w:rPr>
              <w:t xml:space="preserve">квалификации;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w:t>
            </w:r>
            <w:r>
              <w:rPr>
                <w:rFonts w:ascii="Times New Roman" w:hAnsi="Times New Roman" w:eastAsia="Calibri" w:cs="Times New Roman"/>
                <w:sz w:val="24"/>
                <w:szCs w:val="24"/>
              </w:rPr>
              <w:t xml:space="preserve">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подрядных организаций, ведение которого осуществляется федеральным орган</w:t>
            </w:r>
            <w:r>
              <w:rPr>
                <w:rFonts w:ascii="Times New Roman" w:hAnsi="Times New Roman" w:eastAsia="Calibri" w:cs="Times New Roman"/>
                <w:sz w:val="24"/>
                <w:szCs w:val="24"/>
              </w:rPr>
              <w:t xml:space="preserve">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w:t>
            </w:r>
            <w:r>
              <w:rPr>
                <w:rFonts w:ascii="Times New Roman" w:hAnsi="Times New Roman" w:eastAsia="Calibri" w:cs="Times New Roman"/>
                <w:sz w:val="24"/>
                <w:szCs w:val="24"/>
              </w:rPr>
              <w:t xml:space="preserve">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w:t>
            </w:r>
            <w:r>
              <w:rPr>
                <w:rFonts w:ascii="Times New Roman" w:hAnsi="Times New Roman" w:eastAsia="Calibri" w:cs="Times New Roman"/>
                <w:sz w:val="24"/>
                <w:szCs w:val="24"/>
              </w:rPr>
              <w:t xml:space="preserve">ошении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л)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установленном в приложении № 2 «Требо</w:t>
            </w:r>
            <w:r>
              <w:rPr>
                <w:rFonts w:ascii="Times New Roman" w:hAnsi="Times New Roman" w:cs="Times New Roman"/>
                <w:sz w:val="24"/>
                <w:szCs w:val="24"/>
              </w:rPr>
              <w:t xml:space="preserve">вания к минимальному количеству </w:t>
            </w:r>
            <w:r>
              <w:rPr>
                <w:rFonts w:ascii="Times New Roman" w:hAnsi="Times New Roman" w:eastAsia="Calibri" w:cs="Times New Roman"/>
                <w:sz w:val="24"/>
                <w:szCs w:val="24"/>
              </w:rPr>
              <w:t xml:space="preserve">квалифицированного персонала,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w:t>
            </w:r>
            <w:r>
              <w:rPr>
                <w:rFonts w:ascii="Times New Roman" w:hAnsi="Times New Roman" w:cs="Times New Roman"/>
                <w:sz w:val="24"/>
                <w:szCs w:val="24"/>
              </w:rPr>
              <w:t xml:space="preserve">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м) наличие у Участника </w:t>
            </w:r>
            <w:r>
              <w:rPr>
                <w:rFonts w:ascii="Times New Roman" w:hAnsi="Times New Roman" w:cs="Times New Roman"/>
                <w:sz w:val="24"/>
                <w:szCs w:val="24"/>
              </w:rPr>
              <w:t xml:space="preserve">за 3 года, предшествующие </w:t>
            </w:r>
            <w:r>
              <w:rPr>
                <w:rFonts w:ascii="Times New Roman" w:hAnsi="Times New Roman" w:cs="Times New Roman"/>
                <w:sz w:val="24"/>
                <w:szCs w:val="24"/>
              </w:rPr>
              <w:t xml:space="preserve">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w:t>
            </w:r>
            <w:r>
              <w:rPr>
                <w:rFonts w:ascii="Times New Roman" w:hAnsi="Times New Roman" w:cs="Times New Roman"/>
                <w:sz w:val="24"/>
                <w:szCs w:val="24"/>
              </w:rPr>
              <w:t xml:space="preserve">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cs="Times New Roman"/>
                <w:sz w:val="24"/>
                <w:szCs w:val="24"/>
              </w:rPr>
              <w:t xml:space="preserve"> л</w:t>
            </w:r>
            <w:r>
              <w:rPr>
                <w:rFonts w:ascii="Times New Roman" w:hAnsi="Times New Roman" w:cs="Times New Roman"/>
                <w:sz w:val="24"/>
                <w:szCs w:val="24"/>
              </w:rPr>
              <w:t xml:space="preserve">ифтов, разработка проектной документации, в том числе по договорам, заключенным в соответствии с Положением. При этом минимальный размер стоимости оказанных услуг и (или) выполненных работ по указанным исполненным контрактам и (или) договорам установлен в </w:t>
            </w:r>
            <w:r>
              <w:rPr>
                <w:rFonts w:ascii="Times New Roman" w:hAnsi="Times New Roman" w:cs="Times New Roman"/>
                <w:sz w:val="24"/>
                <w:szCs w:val="24"/>
              </w:rPr>
              <w:t xml:space="preserve">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подряда на подготовку проектной докуме</w:t>
            </w:r>
            <w:r>
              <w:rPr>
                <w:rFonts w:ascii="Times New Roman" w:hAnsi="Times New Roman" w:cs="Times New Roman"/>
                <w:sz w:val="24"/>
                <w:szCs w:val="24"/>
              </w:rPr>
              <w:t xml:space="preserve">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w:t>
            </w:r>
            <w:r>
              <w:rPr>
                <w:rFonts w:ascii="Times New Roman" w:hAnsi="Times New Roman" w:cs="Times New Roman"/>
                <w:sz w:val="24"/>
                <w:szCs w:val="24"/>
              </w:rPr>
              <w:t xml:space="preserve">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color w:val="00b050"/>
                <w:sz w:val="24"/>
                <w:szCs w:val="24"/>
                <w:highlight w:val="cyan"/>
              </w:rPr>
            </w:pPr>
            <w:r>
              <w:rPr>
                <w:rFonts w:ascii="Times New Roman" w:hAnsi="Times New Roman" w:cs="Times New Roman"/>
                <w:sz w:val="24"/>
                <w:szCs w:val="24"/>
              </w:rPr>
              <w:t xml:space="preserve">н) отсутствие в отношении Участника</w:t>
            </w:r>
            <w:r>
              <w:rPr>
                <w:rFonts w:ascii="Times New Roman" w:hAnsi="Times New Roman" w:cs="Times New Roman"/>
                <w:sz w:val="24"/>
                <w:szCs w:val="24"/>
              </w:rPr>
              <w:t xml:space="preserve"> решения об исключении подрядной организации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w:t>
            </w:r>
            <w:r>
              <w:rPr>
                <w:rFonts w:ascii="Times New Roman" w:hAnsi="Times New Roman" w:cs="Times New Roman"/>
                <w:sz w:val="24"/>
                <w:szCs w:val="24"/>
              </w:rPr>
              <w:t xml:space="preserve">рительного отбора.</w:t>
            </w:r>
            <w:r>
              <w:rPr>
                <w:rFonts w:ascii="Times New Roman" w:hAnsi="Times New Roman" w:eastAsia="Calibri" w:cs="Times New Roman"/>
                <w:color w:val="00b050"/>
                <w:sz w:val="24"/>
                <w:szCs w:val="24"/>
                <w:highlight w:val="cyan"/>
              </w:rPr>
            </w:r>
            <w:r>
              <w:rPr>
                <w:rFonts w:ascii="Times New Roman" w:hAnsi="Times New Roman" w:eastAsia="Calibri" w:cs="Times New Roman"/>
                <w:color w:val="00b050"/>
                <w:sz w:val="24"/>
                <w:szCs w:val="24"/>
                <w:highlight w:val="cyan"/>
              </w:rPr>
            </w:r>
          </w:p>
        </w:tc>
      </w:tr>
    </w:tbl>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w:t>
            </w:r>
            <w:r>
              <w:rPr>
                <w:rFonts w:ascii="Times New Roman" w:hAnsi="Times New Roman" w:eastAsia="Calibri" w:cs="Times New Roman"/>
                <w:sz w:val="24"/>
                <w:szCs w:val="24"/>
              </w:rPr>
              <w:t xml:space="preserve">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w:t>
            </w:r>
            <w:r>
              <w:rPr>
                <w:rFonts w:ascii="Times New Roman" w:hAnsi="Times New Roman" w:cs="Times New Roman"/>
                <w:sz w:val="24"/>
                <w:szCs w:val="24"/>
              </w:rPr>
              <w:t xml:space="preserve">идических лиц или засвидетельствованная в нотариальном порядке копия такой выписки, полученная не ранее чем за 30 календарных дней до даты подачи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w:t>
            </w:r>
            <w:r>
              <w:rPr>
                <w:rFonts w:ascii="Times New Roman" w:hAnsi="Times New Roman" w:cs="Times New Roman"/>
                <w:sz w:val="24"/>
                <w:szCs w:val="24"/>
              </w:rPr>
              <w:t xml:space="preserve">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w:t>
            </w:r>
            <w:r>
              <w:rPr>
                <w:rFonts w:ascii="Times New Roman" w:hAnsi="Times New Roman" w:eastAsia="Calibri" w:cs="Times New Roman"/>
                <w:sz w:val="24"/>
                <w:szCs w:val="24"/>
              </w:rPr>
              <w:t xml:space="preserve">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w:t>
            </w:r>
            <w:r>
              <w:rPr>
                <w:rFonts w:ascii="Times New Roman" w:hAnsi="Times New Roman" w:cs="Times New Roman"/>
                <w:sz w:val="24"/>
                <w:szCs w:val="24"/>
              </w:rPr>
              <w:t xml:space="preserve">физического лица в качестве индивидуального предпринимателя в соответствии с за</w:t>
            </w:r>
            <w:r>
              <w:rPr>
                <w:rFonts w:ascii="Times New Roman" w:hAnsi="Times New Roman" w:cs="Times New Roman"/>
                <w:sz w:val="24"/>
                <w:szCs w:val="24"/>
              </w:rPr>
              <w:t xml:space="preserve">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w:t>
            </w:r>
            <w:r>
              <w:rPr>
                <w:rFonts w:ascii="Times New Roman" w:hAnsi="Times New Roman" w:eastAsia="Calibri" w:cs="Times New Roman"/>
                <w:sz w:val="24"/>
                <w:szCs w:val="24"/>
              </w:rPr>
              <w:t xml:space="preserve">тствие Участника требованиям, установленным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w:t>
            </w:r>
            <w:r>
              <w:rPr>
                <w:rFonts w:ascii="Times New Roman" w:hAnsi="Times New Roman" w:eastAsia="Calibri" w:cs="Times New Roman"/>
                <w:sz w:val="24"/>
                <w:szCs w:val="24"/>
              </w:rPr>
              <w:t xml:space="preserve">аря года, в котором подается Заявка;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w:t>
            </w:r>
            <w:r>
              <w:rPr>
                <w:rFonts w:ascii="Times New Roman" w:hAnsi="Times New Roman" w:cs="Times New Roman"/>
                <w:sz w:val="24"/>
                <w:szCs w:val="24"/>
              </w:rPr>
              <w:t xml:space="preserve">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w:t>
            </w:r>
            <w:r>
              <w:rPr>
                <w:rFonts w:ascii="Times New Roman" w:hAnsi="Times New Roman" w:cs="Times New Roman"/>
                <w:sz w:val="24"/>
                <w:szCs w:val="24"/>
              </w:rPr>
              <w:t xml:space="preserve">в, сертификатов, аттестатов и удостоверений, подтверждающих наличие у Участника в штате минимального количества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w:t>
            </w:r>
            <w:r>
              <w:rPr>
                <w:rFonts w:ascii="Times New Roman" w:hAnsi="Times New Roman" w:eastAsia="Calibri" w:cs="Times New Roman"/>
                <w:sz w:val="24"/>
                <w:szCs w:val="24"/>
              </w:rPr>
              <w:t xml:space="preserve">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подтверждающих наличие у Участника, предусмотренного подпунктом «п» пункта 23 Положения, опыта оказания услуг и (или) выполнения работ, аналогичных предме</w:t>
            </w:r>
            <w:r>
              <w:rPr>
                <w:rFonts w:ascii="Times New Roman" w:hAnsi="Times New Roman" w:cs="Times New Roman"/>
                <w:sz w:val="24"/>
                <w:szCs w:val="24"/>
              </w:rPr>
              <w:t xml:space="preserve">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w:t>
            </w:r>
            <w:r>
              <w:rPr>
                <w:rFonts w:ascii="Times New Roman" w:hAnsi="Times New Roman" w:cs="Times New Roman"/>
                <w:sz w:val="24"/>
                <w:szCs w:val="24"/>
              </w:rPr>
              <w:t xml:space="preserve">)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w:t>
            </w:r>
            <w:r>
              <w:rPr>
                <w:rFonts w:ascii="Times New Roman" w:hAnsi="Times New Roman" w:cs="Times New Roman"/>
                <w:sz w:val="24"/>
                <w:szCs w:val="24"/>
              </w:rPr>
              <w:t xml:space="preserve">азанным </w:t>
            </w:r>
            <w:r>
              <w:rPr>
                <w:rFonts w:ascii="Times New Roman" w:hAnsi="Times New Roman" w:cs="Times New Roman"/>
                <w:sz w:val="24"/>
                <w:szCs w:val="24"/>
              </w:rPr>
              <w:t xml:space="preserve">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w:t>
            </w:r>
            <w:r>
              <w:rPr>
                <w:rFonts w:ascii="Times New Roman" w:hAnsi="Times New Roman" w:cs="Times New Roman"/>
                <w:sz w:val="24"/>
                <w:szCs w:val="24"/>
              </w:rPr>
              <w:t xml:space="preserve">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w:t>
            </w:r>
            <w:r>
              <w:rPr>
                <w:rFonts w:ascii="Times New Roman" w:hAnsi="Times New Roman" w:cs="Times New Roman"/>
                <w:sz w:val="24"/>
                <w:szCs w:val="24"/>
              </w:rPr>
              <w:t xml:space="preserve">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w:t>
            </w:r>
            <w:r>
              <w:rPr>
                <w:rFonts w:ascii="Times New Roman" w:hAnsi="Times New Roman" w:cs="Times New Roman"/>
                <w:sz w:val="24"/>
                <w:szCs w:val="24"/>
              </w:rPr>
              <w:t xml:space="preserve">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w:t>
            </w:r>
            <w:r>
              <w:rPr>
                <w:rFonts w:ascii="Times New Roman" w:hAnsi="Times New Roman" w:cs="Times New Roman"/>
                <w:sz w:val="24"/>
                <w:szCs w:val="24"/>
              </w:rPr>
              <w:t xml:space="preserve"> и (или) работ по таким контрактам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w:t>
            </w:r>
            <w:r>
              <w:rPr>
                <w:rFonts w:ascii="Times New Roman" w:hAnsi="Times New Roman" w:eastAsia="Calibri" w:cs="Times New Roman"/>
                <w:sz w:val="24"/>
                <w:szCs w:val="24"/>
              </w:rPr>
              <w:t xml:space="preserve">отбора опыта оказания услуг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w:t>
            </w:r>
            <w:r>
              <w:rPr>
                <w:rFonts w:ascii="Times New Roman" w:hAnsi="Times New Roman" w:eastAsia="Calibri" w:cs="Times New Roman"/>
                <w:sz w:val="24"/>
                <w:szCs w:val="24"/>
              </w:rPr>
              <w:t xml:space="preserve">ального закона от 27 июля 2006 года № 152-ФЗ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w:t>
      </w:r>
      <w:r>
        <w:rPr>
          <w:rFonts w:ascii="Times New Roman" w:hAnsi="Times New Roman" w:eastAsia="Calibri" w:cs="Times New Roman"/>
          <w:b/>
          <w:sz w:val="24"/>
          <w:szCs w:val="24"/>
        </w:rPr>
        <w:t xml:space="preserve">дата начала срока подачи и изменения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w:t>
            </w:r>
            <w:r>
              <w:rPr>
                <w:rFonts w:ascii="Times New Roman" w:hAnsi="Times New Roman" w:eastAsia="Times New Roman" w:cs="Times New Roman"/>
                <w:bCs/>
                <w:sz w:val="24"/>
                <w:szCs w:val="24"/>
                <w:lang w:eastAsia="ru-RU"/>
              </w:rPr>
              <w:t xml:space="preserve">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w:t>
            </w:r>
            <w:r>
              <w:rPr>
                <w:rFonts w:ascii="Times New Roman" w:hAnsi="Times New Roman" w:cs="Times New Roman"/>
                <w:sz w:val="24"/>
                <w:szCs w:val="24"/>
              </w:rPr>
              <w:t xml:space="preserve">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электронной площадки в виде электронного документа.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w:t>
            </w:r>
            <w:r>
              <w:rPr>
                <w:rFonts w:ascii="Times New Roman" w:hAnsi="Times New Roman" w:eastAsia="Times New Roman" w:cs="Times New Roman"/>
                <w:sz w:val="24"/>
                <w:szCs w:val="24"/>
                <w:lang w:eastAsia="ru-RU"/>
              </w:rPr>
              <w:t xml:space="preserve">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w:t>
            </w:r>
            <w:r>
              <w:rPr>
                <w:rFonts w:ascii="Times New Roman" w:hAnsi="Times New Roman" w:eastAsia="Times New Roman" w:cs="Times New Roman"/>
                <w:sz w:val="24"/>
                <w:szCs w:val="24"/>
                <w:lang w:eastAsia="ru-RU"/>
              </w:rPr>
              <w:t xml:space="preserve">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w:t>
            </w:r>
            <w:r>
              <w:rPr>
                <w:rFonts w:ascii="Times New Roman" w:hAnsi="Times New Roman" w:eastAsia="Times New Roman" w:cs="Times New Roman"/>
                <w:sz w:val="24"/>
                <w:szCs w:val="24"/>
                <w:lang w:eastAsia="ru-RU"/>
              </w:rPr>
              <w:t xml:space="preserve">дкового номера.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w:t>
            </w:r>
            <w:r>
              <w:rPr>
                <w:rFonts w:ascii="Times New Roman" w:hAnsi="Times New Roman" w:eastAsia="Times New Roman" w:cs="Times New Roman"/>
                <w:sz w:val="24"/>
                <w:szCs w:val="24"/>
                <w:lang w:eastAsia="ru-RU"/>
              </w:rPr>
              <w:t xml:space="preserve">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w:t>
            </w:r>
            <w:r>
              <w:rPr>
                <w:rFonts w:ascii="Times New Roman" w:hAnsi="Times New Roman" w:cs="Times New Roman"/>
                <w:sz w:val="24"/>
                <w:szCs w:val="24"/>
              </w:rPr>
              <w:t xml:space="preserve">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21 Положения, до даты окончания срока подачи заявок на участие в предварительном отборе этот срок с</w:t>
            </w:r>
            <w:r>
              <w:rPr>
                <w:rFonts w:ascii="Times New Roman" w:hAnsi="Times New Roman" w:cs="Times New Roman"/>
                <w:sz w:val="24"/>
                <w:szCs w:val="24"/>
              </w:rPr>
              <w:t xml:space="preserve">оставлял не менее чем 10 дней.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7"/>
        <w:gridCol w:w="2918"/>
        <w:gridCol w:w="5836"/>
      </w:tblGrid>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w:t>
            </w:r>
            <w:r>
              <w:rPr>
                <w:rFonts w:ascii="Times New Roman" w:hAnsi="Times New Roman" w:eastAsia="Times New Roman" w:cs="Times New Roman"/>
                <w:bCs/>
                <w:sz w:val="24"/>
                <w:szCs w:val="24"/>
                <w:lang w:eastAsia="ru-RU"/>
              </w:rPr>
              <w:t xml:space="preserve">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w:t>
            </w:r>
            <w:r>
              <w:rPr>
                <w:rFonts w:ascii="Times New Roman" w:hAnsi="Times New Roman" w:cs="Times New Roman"/>
                <w:sz w:val="24"/>
                <w:szCs w:val="24"/>
              </w:rPr>
              <w:t xml:space="preserve">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квалифицированной электронной подписью Участника.</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bl>
    <w:p>
      <w:pPr>
        <w:spacing w:after="0" w:line="240" w:lineRule="auto"/>
        <w:tabs>
          <w:tab w:val="left" w:pos="284"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Форма, </w:t>
      </w:r>
      <w:r>
        <w:rPr>
          <w:rFonts w:ascii="Times New Roman" w:hAnsi="Times New Roman" w:eastAsia="Calibri" w:cs="Times New Roman"/>
          <w:b/>
          <w:sz w:val="24"/>
          <w:szCs w:val="24"/>
        </w:rPr>
        <w:t xml:space="preserve">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w:t>
            </w:r>
            <w:r>
              <w:rPr>
                <w:rFonts w:ascii="Times New Roman" w:hAnsi="Times New Roman" w:eastAsia="Times New Roman" w:cs="Times New Roman"/>
                <w:sz w:val="24"/>
                <w:szCs w:val="24"/>
                <w:lang w:eastAsia="ru-RU"/>
              </w:rPr>
              <w:t xml:space="preserve">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(далее – запрос). Запрос рекомендуется направлять по форме, установленной в приложении № 6 к Документац</w:t>
            </w:r>
            <w:r>
              <w:rPr>
                <w:rFonts w:ascii="Times New Roman" w:hAnsi="Times New Roman" w:eastAsia="Times New Roman" w:cs="Times New Roman"/>
                <w:sz w:val="24"/>
                <w:szCs w:val="24"/>
                <w:lang w:eastAsia="ru-RU"/>
              </w:rPr>
              <w:t xml:space="preserve">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w:t>
            </w:r>
            <w:r>
              <w:rPr>
                <w:rFonts w:ascii="Times New Roman" w:hAnsi="Times New Roman" w:eastAsia="Times New Roman" w:cs="Times New Roman"/>
                <w:sz w:val="24"/>
                <w:szCs w:val="24"/>
                <w:lang w:eastAsia="ru-RU"/>
              </w:rPr>
              <w:t xml:space="preserve">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пункте 34 Положения запросы, поступившие позднее чем за 5 рабочих дней до да</w:t>
            </w:r>
            <w:r>
              <w:rPr>
                <w:rFonts w:ascii="Times New Roman" w:hAnsi="Times New Roman" w:cs="Times New Roman"/>
                <w:sz w:val="24"/>
                <w:szCs w:val="24"/>
              </w:rPr>
              <w:t xml:space="preserve">ты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ind w:left="142"/>
        <w:jc w:val="center"/>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w:t>
            </w:r>
            <w:r>
              <w:rPr>
                <w:rFonts w:ascii="Times New Roman" w:hAnsi="Times New Roman" w:cs="Times New Roman"/>
                <w:sz w:val="24"/>
                <w:szCs w:val="24"/>
              </w:rPr>
              <w:t xml:space="preserve">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w:t>
            </w:r>
            <w:r>
              <w:rPr>
                <w:rFonts w:ascii="Times New Roman" w:hAnsi="Times New Roman" w:cs="Times New Roman"/>
                <w:sz w:val="24"/>
                <w:szCs w:val="24"/>
              </w:rPr>
              <w:t xml:space="preserve">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w:t>
            </w:r>
            <w:r>
              <w:rPr>
                <w:rFonts w:ascii="Times New Roman" w:hAnsi="Times New Roman" w:cs="Times New Roman"/>
                <w:sz w:val="24"/>
                <w:szCs w:val="24"/>
              </w:rPr>
              <w:t xml:space="preserve">установленным требованиям;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такие проверки в срок,</w:t>
            </w:r>
            <w:r>
              <w:rPr>
                <w:rFonts w:ascii="Times New Roman" w:hAnsi="Times New Roman" w:cs="Times New Roman"/>
                <w:sz w:val="24"/>
                <w:szCs w:val="24"/>
              </w:rPr>
              <w:br/>
              <w:t xml:space="preserve">не превышающий 14 календарных дней, по заявлениям физичес</w:t>
            </w:r>
            <w:r>
              <w:rPr>
                <w:rFonts w:ascii="Times New Roman" w:hAnsi="Times New Roman" w:cs="Times New Roman"/>
                <w:sz w:val="24"/>
                <w:szCs w:val="24"/>
              </w:rPr>
              <w:t xml:space="preserve">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 проводимых проверок в случае, если они проводятся в связи с поступившими за</w:t>
            </w:r>
            <w:r>
              <w:rPr>
                <w:rFonts w:ascii="Times New Roman" w:hAnsi="Times New Roman" w:cs="Times New Roman"/>
                <w:sz w:val="24"/>
                <w:szCs w:val="24"/>
              </w:rPr>
              <w:t xml:space="preserve">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включении Участника в РКПО в случаях, указанных в пункте 53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w:t>
            </w:r>
            <w:r>
              <w:rPr>
                <w:rFonts w:ascii="Times New Roman" w:hAnsi="Times New Roman" w:cs="Times New Roman"/>
                <w:sz w:val="24"/>
                <w:szCs w:val="24"/>
              </w:rPr>
              <w:t xml:space="preserve">е об отказе во включении Участника в РКПО принимается в следующих случаях:</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требованиям, установленным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w:t>
            </w:r>
            <w:r>
              <w:rPr>
                <w:rFonts w:ascii="Times New Roman" w:hAnsi="Times New Roman" w:cs="Times New Roman"/>
                <w:sz w:val="24"/>
                <w:szCs w:val="24"/>
              </w:rPr>
              <w:t xml:space="preserve">авления Участником недостоверной информации (сведений, документов) в составе Заявки.</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поданные ранее Заявки таким Участником не отозваны, все Заявки такого Участника не</w:t>
            </w:r>
            <w:r>
              <w:rPr>
                <w:rFonts w:ascii="Times New Roman" w:hAnsi="Times New Roman" w:cs="Times New Roman"/>
                <w:sz w:val="24"/>
                <w:szCs w:val="24"/>
              </w:rPr>
              <w:t xml:space="preserve"> рассматриваются.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предварительного отбора, который подписывается всеми членами комиссии, участвующими в засе</w:t>
            </w:r>
            <w:r>
              <w:rPr>
                <w:rFonts w:ascii="Times New Roman" w:hAnsi="Times New Roman" w:cs="Times New Roman"/>
                <w:sz w:val="24"/>
                <w:szCs w:val="24"/>
              </w:rPr>
              <w:t xml:space="preserve">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w:t>
            </w:r>
            <w:r>
              <w:rPr>
                <w:rFonts w:ascii="Times New Roman" w:hAnsi="Times New Roman" w:cs="Times New Roman"/>
                <w:sz w:val="24"/>
                <w:szCs w:val="24"/>
              </w:rPr>
              <w:t xml:space="preserve">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w:t>
            </w:r>
            <w:r>
              <w:rPr>
                <w:rFonts w:ascii="Times New Roman" w:hAnsi="Times New Roman" w:cs="Times New Roman"/>
                <w:sz w:val="24"/>
                <w:szCs w:val="24"/>
              </w:rPr>
              <w:t xml:space="preserve">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предусмотренных Документацией о проведении предварительного отбора, состав членов комис</w:t>
            </w:r>
            <w:r>
              <w:rPr>
                <w:rFonts w:ascii="Times New Roman" w:hAnsi="Times New Roman" w:cs="Times New Roman"/>
                <w:sz w:val="24"/>
                <w:szCs w:val="24"/>
              </w:rPr>
              <w:t xml:space="preserve">сии, участвующих в 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 которы</w:t>
            </w:r>
            <w:r>
              <w:rPr>
                <w:rFonts w:ascii="Times New Roman" w:hAnsi="Times New Roman" w:cs="Times New Roman"/>
                <w:sz w:val="24"/>
                <w:szCs w:val="24"/>
              </w:rPr>
              <w:t xml:space="preserve">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w:t>
            </w:r>
            <w:r>
              <w:rPr>
                <w:rFonts w:ascii="Times New Roman" w:hAnsi="Times New Roman" w:cs="Times New Roman"/>
                <w:sz w:val="24"/>
                <w:szCs w:val="24"/>
              </w:rPr>
              <w:t xml:space="preserve">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документации, по договорам строительного подряда, заключаемым с </w:t>
            </w:r>
            <w:r>
              <w:rPr>
                <w:rFonts w:ascii="Times New Roman" w:hAnsi="Times New Roman" w:cs="Times New Roman"/>
                <w:sz w:val="24"/>
                <w:szCs w:val="24"/>
              </w:rPr>
              <w:t xml:space="preserve">использованием конкурентны</w:t>
            </w:r>
            <w:r>
              <w:rPr>
                <w:rFonts w:ascii="Times New Roman" w:hAnsi="Times New Roman" w:cs="Times New Roman"/>
                <w:sz w:val="24"/>
                <w:szCs w:val="24"/>
              </w:rPr>
              <w:t xml:space="preserve">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r>
              <w:rPr>
                <w:rFonts w:ascii="Times New Roman" w:hAnsi="Times New Roman" w:cs="Times New Roman"/>
                <w:sz w:val="24"/>
                <w:szCs w:val="24"/>
              </w:rPr>
              <w:t xml:space="preserve">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проведению предварительного отбора. Любой Участник и (или) его представитель вправе уч</w:t>
            </w:r>
            <w:r>
              <w:rPr>
                <w:rFonts w:ascii="Times New Roman" w:hAnsi="Times New Roman" w:cs="Times New Roman"/>
                <w:iCs/>
                <w:sz w:val="24"/>
                <w:szCs w:val="24"/>
              </w:rPr>
              <w:t xml:space="preserve">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w:t>
            </w:r>
            <w:r>
              <w:rPr>
                <w:rFonts w:ascii="Times New Roman" w:hAnsi="Times New Roman" w:eastAsia="Calibri" w:cs="Times New Roman"/>
                <w:sz w:val="24"/>
                <w:szCs w:val="24"/>
              </w:rPr>
              <w:t xml:space="preserve">ительного отбора и на подачу заявки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w:t>
      </w:r>
      <w:r>
        <w:rPr>
          <w:rFonts w:ascii="Times New Roman" w:hAnsi="Times New Roman" w:cs="Times New Roman"/>
          <w:i/>
          <w:sz w:val="24"/>
          <w:szCs w:val="24"/>
          <w:u w:val="single"/>
        </w:rPr>
        <w:t xml:space="preserve">личии отчества) для индивидуального предпринимателя)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w:t>
      </w:r>
      <w:r>
        <w:rPr>
          <w:rFonts w:ascii="Times New Roman" w:hAnsi="Times New Roman" w:cs="Times New Roman"/>
          <w:sz w:val="24"/>
          <w:szCs w:val="24"/>
        </w:rPr>
        <w:t xml:space="preserve">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юридического лица</w:t>
      </w:r>
      <w:r>
        <w:rPr>
          <w:rFonts w:ascii="Times New Roman" w:hAnsi="Times New Roman" w:cs="Times New Roman"/>
          <w:sz w:val="24"/>
          <w:szCs w:val="24"/>
        </w:rPr>
        <w:t xml:space="preserve">, самостоятельно организующим выполнение инженерных изысканий, подготовку проектной документации,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 к наличию у индивидуального предпр</w:t>
      </w:r>
      <w:r>
        <w:rPr>
          <w:rFonts w:ascii="Times New Roman" w:hAnsi="Times New Roman" w:cs="Times New Roman"/>
          <w:sz w:val="24"/>
          <w:szCs w:val="24"/>
        </w:rPr>
        <w:t xml:space="preserve">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трудовая функц</w:t>
      </w:r>
      <w:r>
        <w:rPr>
          <w:rFonts w:ascii="Times New Roman" w:hAnsi="Times New Roman" w:cs="Times New Roman"/>
          <w:sz w:val="24"/>
          <w:szCs w:val="24"/>
        </w:rPr>
        <w:t xml:space="preserve">ия которых включает соответственно организацию выполнения работ по инженерным изысканиям, выполнения работ по подготовке проектной документации и сведения о которых включены в национальные реестры специалистов, предусмотренные статьей 55.5-1 Градостроитель</w:t>
      </w:r>
      <w:r>
        <w:rPr>
          <w:rFonts w:ascii="Times New Roman" w:hAnsi="Times New Roman" w:cs="Times New Roman"/>
          <w:sz w:val="24"/>
          <w:szCs w:val="24"/>
        </w:rPr>
        <w:t xml:space="preserve">ного кодекса Российской Федерации, - не менее чем два специалиста по месту основной работы.</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i/>
          <w:sz w:val="24"/>
          <w:szCs w:val="24"/>
        </w:rPr>
      </w:r>
      <w:r>
        <w:rPr>
          <w:rFonts w:ascii="Times New Roman" w:hAnsi="Times New Roman" w:cs="Times New Roman"/>
          <w:i/>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инженерных изысканий, специалистом по ор</w:t>
      </w:r>
      <w:r>
        <w:rPr>
          <w:rFonts w:ascii="Times New Roman" w:hAnsi="Times New Roman" w:cs="Times New Roman"/>
          <w:sz w:val="24"/>
          <w:szCs w:val="24"/>
        </w:rPr>
        <w:t xml:space="preserve">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w:t>
      </w:r>
      <w:r>
        <w:rPr>
          <w:rFonts w:ascii="Times New Roman" w:hAnsi="Times New Roman" w:cs="Times New Roman"/>
          <w:sz w:val="24"/>
          <w:szCs w:val="24"/>
        </w:rPr>
        <w:t xml:space="preserve">инженерным изысканиям, подготовке проектной документации, в том числе в должности главного инженера проекта, главного архитектора проекта.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К должностным обязанностям специалистов по организации инженерных изысканий, специалистов по организации архитектурно</w:t>
      </w:r>
      <w:r>
        <w:rPr>
          <w:rFonts w:ascii="Times New Roman" w:hAnsi="Times New Roman" w:cs="Times New Roman"/>
          <w:sz w:val="24"/>
          <w:szCs w:val="24"/>
        </w:rPr>
        <w:t xml:space="preserve">-строительного проектирования в том числе относятся соответственно: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утверждение заданий на выполнение работ по инженерным изысканиям, заданий на проектирование объекта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 xml:space="preserve">представление, согласование и приемка результатов работ по выполнению инженерных изысканий, подготовке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утверждение результатов инженерных изысканий,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физических лицах включаются в национальный р</w:t>
      </w:r>
      <w:r>
        <w:rPr>
          <w:rFonts w:ascii="Times New Roman" w:hAnsi="Times New Roman" w:cs="Times New Roman"/>
          <w:iCs/>
          <w:sz w:val="24"/>
          <w:szCs w:val="24"/>
        </w:rPr>
        <w:t xml:space="preserve">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w:t>
      </w:r>
      <w:r>
        <w:rPr>
          <w:rFonts w:ascii="Times New Roman" w:hAnsi="Times New Roman" w:cs="Times New Roman"/>
          <w:iCs/>
          <w:sz w:val="24"/>
          <w:szCs w:val="24"/>
        </w:rPr>
        <w:t xml:space="preserve">а членстве лиц, осуществляющих подготовку проектной документации.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iCs/>
          <w:sz w:val="24"/>
          <w:szCs w:val="24"/>
        </w:rPr>
        <w:tab/>
        <w:t xml:space="preserve">наличие высше</w:t>
      </w:r>
      <w:r>
        <w:rPr>
          <w:rFonts w:ascii="Times New Roman" w:hAnsi="Times New Roman" w:cs="Times New Roman"/>
          <w:iCs/>
          <w:sz w:val="24"/>
          <w:szCs w:val="24"/>
        </w:rPr>
        <w:t xml:space="preserve">го образования по специальности или направлению подготовки в области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iCs/>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w:t>
      </w:r>
      <w:r>
        <w:rPr>
          <w:rFonts w:ascii="Times New Roman" w:hAnsi="Times New Roman" w:cs="Times New Roman"/>
          <w:iCs/>
          <w:sz w:val="24"/>
          <w:szCs w:val="24"/>
        </w:rPr>
        <w:t xml:space="preserve">в организациях, осуществляющих строительство, реконструкцию, капитальный ремонт, снос объектов капитального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3) </w:t>
      </w:r>
      <w:r>
        <w:rPr>
          <w:rFonts w:ascii="Times New Roman" w:hAnsi="Times New Roman" w:cs="Times New Roman"/>
          <w:iCs/>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w:t>
      </w:r>
      <w:r>
        <w:rPr>
          <w:rFonts w:ascii="Times New Roman" w:hAnsi="Times New Roman" w:cs="Times New Roman"/>
          <w:iCs/>
          <w:sz w:val="24"/>
          <w:szCs w:val="24"/>
        </w:rPr>
        <w:t xml:space="preserve">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w:t>
      </w:r>
      <w:r>
        <w:rPr>
          <w:rFonts w:ascii="Times New Roman" w:hAnsi="Times New Roman" w:cs="Times New Roman"/>
          <w:iCs/>
          <w:sz w:val="24"/>
          <w:szCs w:val="24"/>
        </w:rPr>
        <w:t xml:space="preserve">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rPr>
          <w:rFonts w:ascii="Times New Roman" w:hAnsi="Times New Roman" w:cs="Times New Roman"/>
          <w:iCs/>
          <w:sz w:val="24"/>
          <w:szCs w:val="24"/>
        </w:rPr>
        <w:t xml:space="preserve">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w:t>
      </w:r>
      <w:r>
        <w:rPr>
          <w:rFonts w:ascii="Times New Roman" w:hAnsi="Times New Roman" w:cs="Times New Roman"/>
          <w:iCs/>
          <w:sz w:val="24"/>
          <w:szCs w:val="24"/>
        </w:rPr>
        <w:t xml:space="preserve">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4) </w:t>
      </w:r>
      <w:r>
        <w:rPr>
          <w:rFonts w:ascii="Times New Roman" w:hAnsi="Times New Roman" w:cs="Times New Roman"/>
          <w:iCs/>
          <w:sz w:val="24"/>
          <w:szCs w:val="24"/>
        </w:rPr>
        <w:tab/>
        <w:t xml:space="preserve">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w:t>
      </w:r>
      <w:r>
        <w:rPr>
          <w:rFonts w:ascii="Times New Roman" w:hAnsi="Times New Roman" w:cs="Times New Roman"/>
          <w:iCs/>
          <w:sz w:val="24"/>
          <w:szCs w:val="24"/>
        </w:rPr>
        <w:t xml:space="preserve">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w:t>
      </w:r>
      <w:r>
        <w:rPr>
          <w:rFonts w:ascii="Times New Roman" w:hAnsi="Times New Roman" w:cs="Times New Roman"/>
          <w:iCs/>
          <w:sz w:val="24"/>
          <w:szCs w:val="24"/>
        </w:rPr>
        <w:t xml:space="preserve">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w:t>
      </w:r>
      <w:r>
        <w:rPr>
          <w:rFonts w:ascii="Times New Roman" w:hAnsi="Times New Roman" w:cs="Times New Roman"/>
          <w:iCs/>
          <w:sz w:val="24"/>
          <w:szCs w:val="24"/>
        </w:rPr>
        <w:t xml:space="preserve">ссийской Федерации;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5) </w:t>
      </w:r>
      <w:r>
        <w:rPr>
          <w:rFonts w:ascii="Times New Roman" w:hAnsi="Times New Roman" w:cs="Times New Roman"/>
          <w:iCs/>
          <w:sz w:val="24"/>
          <w:szCs w:val="24"/>
        </w:rPr>
        <w:tab/>
        <w:t xml:space="preserve">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w:t>
      </w:r>
      <w:r>
        <w:rPr>
          <w:rFonts w:ascii="Times New Roman" w:hAnsi="Times New Roman" w:cs="Times New Roman"/>
          <w:iCs/>
          <w:sz w:val="24"/>
          <w:szCs w:val="24"/>
        </w:rPr>
        <w:t xml:space="preserve">орами Российской Федерации такой документ не требуется;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6) </w:t>
      </w:r>
      <w:r>
        <w:rPr>
          <w:rFonts w:ascii="Times New Roman" w:hAnsi="Times New Roman" w:cs="Times New Roman"/>
          <w:iCs/>
          <w:sz w:val="24"/>
          <w:szCs w:val="24"/>
        </w:rPr>
        <w:tab/>
        <w:t xml:space="preserve">отсутствие непогашенной или неснятой судимости за совершение умышленного преступления.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18"/>
        <w:tblW w:w="9494" w:type="dxa"/>
        <w:jc w:val="center"/>
        <w:tblLook w:val="04A0" w:firstRow="1" w:lastRow="0" w:firstColumn="1" w:lastColumn="0" w:noHBand="0" w:noVBand="1"/>
      </w:tblPr>
      <w:tblGrid>
        <w:gridCol w:w="564"/>
        <w:gridCol w:w="4609"/>
        <w:gridCol w:w="4321"/>
      </w:tblGrid>
      <w:tr>
        <w:tblPrEx/>
        <w:trPr>
          <w:jc w:val="center"/>
          <w:trHeight w:val="5395"/>
        </w:trPr>
        <w:tc>
          <w:tcPr>
            <w:tcW w:w="564" w:type="dxa"/>
            <w:vAlign w:val="center"/>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r>
              <w:rPr>
                <w:rFonts w:ascii="Times New Roman" w:hAnsi="Times New Roman" w:cs="Times New Roman"/>
                <w:sz w:val="24"/>
                <w:szCs w:val="24"/>
              </w:rPr>
            </w:r>
          </w:p>
        </w:tc>
        <w:tc>
          <w:tcPr>
            <w:tcW w:w="46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подряда на подготовку проектной документации, в соответствии с которым Участником как членом саморегулируемой организации, основанной на членстве лиц, выполняющих инженерные изыскания, или саморегулируемой органи</w:t>
            </w:r>
            <w:r>
              <w:rPr>
                <w:rFonts w:ascii="Times New Roman" w:hAnsi="Times New Roman" w:cs="Times New Roman"/>
                <w:sz w:val="24"/>
                <w:szCs w:val="24"/>
              </w:rPr>
              <w:t xml:space="preserve">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w:t>
            </w:r>
            <w:r>
              <w:rPr>
                <w:rFonts w:ascii="Times New Roman" w:hAnsi="Times New Roman" w:cs="Times New Roman"/>
                <w:sz w:val="24"/>
                <w:szCs w:val="24"/>
              </w:rPr>
              <w:t xml:space="preserve">ции</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321" w:type="dxa"/>
            <w:vAlign w:val="center"/>
            <w:textDirection w:val="lrTb"/>
            <w:noWrap w:val="false"/>
          </w:tcPr>
          <w:p>
            <w:pPr>
              <w:pStyle w:val="922"/>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исполненным контрактам и (или) договорам*</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не превышает 25 миллионов рублей</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w:t>
            </w:r>
            <w:r>
              <w:rPr>
                <w:rFonts w:ascii="Times New Roman" w:hAnsi="Times New Roman" w:cs="Times New Roman"/>
                <w:sz w:val="24"/>
                <w:szCs w:val="24"/>
              </w:rPr>
              <w:t xml:space="preserve">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2 %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50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300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restart"/>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составляет 300 миллионов рублей и более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continue"/>
            <w:textDirection w:val="lrTb"/>
            <w:noWrap w:val="false"/>
          </w:tcPr>
          <w:p>
            <w:pPr>
              <w:pStyle w:val="922"/>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w:t>
      </w:r>
      <w:r>
        <w:rPr>
          <w:rFonts w:ascii="Times New Roman" w:hAnsi="Times New Roman" w:cs="Times New Roman"/>
          <w:sz w:val="24"/>
          <w:szCs w:val="24"/>
        </w:rPr>
        <w:t xml:space="preserve">нтрактам и (или) договорам.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709"/>
        <w:jc w:val="both"/>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43"/>
        <w:gridCol w:w="1398"/>
        <w:gridCol w:w="1842"/>
        <w:gridCol w:w="1136"/>
        <w:gridCol w:w="1647"/>
        <w:gridCol w:w="1328"/>
        <w:gridCol w:w="1740"/>
      </w:tblGrid>
      <w:tr>
        <w:tblPrEx/>
        <w:trPr/>
        <w:tc>
          <w:tcPr>
            <w:shd w:val="clear" w:color="auto" w:fill="auto"/>
            <w:tcW w:w="182"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41"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976" w:type="pct"/>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Идентификационный номер в Национальном реестре специалис</w:t>
            </w:r>
            <w:r>
              <w:rPr>
                <w:rFonts w:ascii="Times New Roman" w:hAnsi="Times New Roman" w:eastAsia="Times New Roman" w:cs="Times New Roman"/>
                <w:sz w:val="20"/>
                <w:szCs w:val="20"/>
                <w:lang w:eastAsia="ru-RU"/>
              </w:rPr>
              <w:t xml:space="preserve">тов в области инженерных изысканий и архитектурно-строительного проектирования (НОПРИЗ)</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602"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873"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04"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r>
              <w:rPr>
                <w:rFonts w:ascii="Times New Roman" w:hAnsi="Times New Roman" w:cs="Times New Roman"/>
                <w:sz w:val="20"/>
                <w:szCs w:val="20"/>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5000" w:type="pct"/>
        <w:tblLook w:val="04A0" w:firstRow="1" w:lastRow="0" w:firstColumn="1" w:lastColumn="0" w:noHBand="0" w:noVBand="1"/>
      </w:tblPr>
      <w:tblGrid>
        <w:gridCol w:w="431"/>
        <w:gridCol w:w="1250"/>
        <w:gridCol w:w="991"/>
        <w:gridCol w:w="1293"/>
        <w:gridCol w:w="1324"/>
        <w:gridCol w:w="1425"/>
        <w:gridCol w:w="1245"/>
        <w:gridCol w:w="1611"/>
      </w:tblGrid>
      <w:tr>
        <w:tblPrEx/>
        <w:trPr>
          <w:trHeight w:val="2622"/>
        </w:trPr>
        <w:tc>
          <w:tcPr>
            <w:tcW w:w="213"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49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19"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522"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r>
              <w:rPr>
                <w:rFonts w:ascii="Times New Roman" w:hAnsi="Times New Roman" w:cs="Times New Roman"/>
                <w:sz w:val="20"/>
                <w:szCs w:val="20"/>
              </w:rPr>
            </w:r>
          </w:p>
        </w:tc>
        <w:tc>
          <w:tcPr>
            <w:tcW w:w="58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5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8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3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r>
              <w:rPr>
                <w:rFonts w:ascii="Times New Roman" w:hAnsi="Times New Roman" w:eastAsia="Calibri" w:cs="Times New Roman"/>
                <w:sz w:val="20"/>
                <w:szCs w:val="20"/>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w:t>
      </w:r>
      <w:r>
        <w:rPr>
          <w:rFonts w:ascii="Times New Roman" w:hAnsi="Times New Roman" w:eastAsia="Calibri" w:cs="Times New Roman"/>
          <w:sz w:val="24"/>
          <w:szCs w:val="24"/>
        </w:rPr>
        <w:t xml:space="preserve">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w:t>
      </w:r>
      <w:r>
        <w:rPr>
          <w:rFonts w:ascii="Times New Roman" w:hAnsi="Times New Roman" w:eastAsia="Calibri" w:cs="Times New Roman"/>
          <w:sz w:val="24"/>
          <w:szCs w:val="24"/>
        </w:rPr>
        <w:t xml:space="preserve">я работ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w:t>
      </w:r>
      <w:r>
        <w:rPr>
          <w:rFonts w:ascii="Times New Roman" w:hAnsi="Times New Roman" w:eastAsia="Calibri" w:cs="Times New Roman"/>
          <w:sz w:val="24"/>
          <w:szCs w:val="24"/>
        </w:rPr>
        <w:t xml:space="preserve"> № 5-ПО(4</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1._________________________________________________________________________________________________________________________________________________________2._____________________________________________________________________________</w:t>
      </w:r>
      <w:r>
        <w:rPr>
          <w:rFonts w:ascii="Times New Roman" w:hAnsi="Times New Roman" w:eastAsia="Calibri" w:cs="Times New Roman"/>
          <w:sz w:val="24"/>
          <w:szCs w:val="24"/>
        </w:rPr>
        <w:t xml:space="preserve">____________________________________________________________________________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i/>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w:t>
      </w:r>
      <w:r>
        <w:rPr>
          <w:rFonts w:ascii="Times New Roman" w:hAnsi="Times New Roman" w:eastAsia="SimSun" w:cs="Times New Roman"/>
          <w:sz w:val="24"/>
          <w:szCs w:val="24"/>
          <w:lang w:eastAsia="ru-RU"/>
        </w:rPr>
        <w:t xml:space="preserve">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w:t>
      </w:r>
      <w:r>
        <w:rPr>
          <w:rFonts w:ascii="Times New Roman" w:hAnsi="Times New Roman" w:eastAsia="SimSun" w:cs="Times New Roman"/>
          <w:sz w:val="24"/>
          <w:szCs w:val="24"/>
          <w:lang w:eastAsia="ru-RU"/>
        </w:rPr>
        <w:t xml:space="preserve">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организации)</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w:t>
      </w:r>
      <w:r>
        <w:rPr>
          <w:rFonts w:ascii="Times New Roman" w:hAnsi="Times New Roman" w:eastAsia="SimSun" w:cs="Times New Roman"/>
          <w:sz w:val="20"/>
          <w:szCs w:val="24"/>
          <w:lang w:eastAsia="ru-RU"/>
        </w:rPr>
        <w:t xml:space="preserve">азать адрес организации)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w:t>
      </w:r>
      <w:r>
        <w:rPr>
          <w:rFonts w:ascii="Times New Roman" w:hAnsi="Times New Roman" w:eastAsia="SimSun" w:cs="Times New Roman"/>
          <w:sz w:val="24"/>
          <w:szCs w:val="24"/>
          <w:lang w:eastAsia="ru-RU"/>
        </w:rPr>
        <w:t xml:space="preserve">, энергетики, цифровизации и связи Забайкальского края, находящемуся по адресу: Забайкальский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w:t>
      </w:r>
      <w:r>
        <w:rPr>
          <w:rFonts w:ascii="Times New Roman" w:hAnsi="Times New Roman" w:eastAsia="SimSun" w:cs="Times New Roman"/>
          <w:sz w:val="24"/>
          <w:szCs w:val="24"/>
          <w:lang w:eastAsia="ru-RU"/>
        </w:rPr>
        <w:t xml:space="preserve">е иной информации, относящейся ко мне), то есть на совершение действий, предусмотренных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w:t>
      </w:r>
      <w:r>
        <w:rPr>
          <w:rFonts w:ascii="Times New Roman" w:hAnsi="Times New Roman" w:eastAsia="SimSun" w:cs="Times New Roman"/>
          <w:sz w:val="24"/>
          <w:szCs w:val="24"/>
          <w:lang w:eastAsia="ru-RU"/>
        </w:rPr>
        <w:t xml:space="preserve">й форме.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5235342"/>
      <w:docPartObj>
        <w:docPartGallery w:val="Page Numbers (Top of Page)"/>
        <w:docPartUnique w:val="true"/>
      </w:docPartObj>
      <w:rPr/>
    </w:sdtPr>
    <w:sdtContent>
      <w:p>
        <w:pPr>
          <w:pStyle w:val="931"/>
          <w:jc w:val="center"/>
          <w:spacing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11</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3"/>
      <w:numFmt w:val="upperRoman"/>
      <w:isLgl w:val="false"/>
      <w:suff w:val="tab"/>
      <w:lvlText w:val="%1."/>
      <w:lvlJc w:val="left"/>
      <w:pPr>
        <w:ind w:left="720" w:hanging="720"/>
      </w:pPr>
      <w:rPr>
        <w:rFonts w:hint="default"/>
        <w:b/>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8"/>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70" w:hanging="360"/>
      </w:pPr>
      <w:rPr>
        <w:rFonts w:hint="default"/>
        <w:i w:val="0"/>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upperRoman"/>
      <w:isLgl w:val="false"/>
      <w:suff w:val="tab"/>
      <w:lvlText w:val="%1."/>
      <w:lvlJc w:val="left"/>
      <w:pPr>
        <w:ind w:left="1146"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7">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7"/>
  </w:num>
  <w:num w:numId="2">
    <w:abstractNumId w:val="24"/>
  </w:num>
  <w:num w:numId="3">
    <w:abstractNumId w:val="11"/>
  </w:num>
  <w:num w:numId="4">
    <w:abstractNumId w:val="21"/>
  </w:num>
  <w:num w:numId="5">
    <w:abstractNumId w:val="16"/>
  </w:num>
  <w:num w:numId="6">
    <w:abstractNumId w:val="12"/>
  </w:num>
  <w:num w:numId="7">
    <w:abstractNumId w:val="0"/>
  </w:num>
  <w:num w:numId="8">
    <w:abstractNumId w:val="1"/>
  </w:num>
  <w:num w:numId="9">
    <w:abstractNumId w:val="9"/>
  </w:num>
  <w:num w:numId="10">
    <w:abstractNumId w:val="4"/>
  </w:num>
  <w:num w:numId="11">
    <w:abstractNumId w:val="20"/>
  </w:num>
  <w:num w:numId="12">
    <w:abstractNumId w:val="2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18"/>
  </w:num>
  <w:num w:numId="17">
    <w:abstractNumId w:val="13"/>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7"/>
  </w:num>
  <w:num w:numId="23">
    <w:abstractNumId w:val="10"/>
  </w:num>
  <w:num w:numId="24">
    <w:abstractNumId w:val="15"/>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7">
    <w:name w:val="Heading 2 Char"/>
    <w:basedOn w:val="751"/>
    <w:link w:val="743"/>
    <w:uiPriority w:val="9"/>
    <w:rPr>
      <w:rFonts w:ascii="Arial" w:hAnsi="Arial" w:eastAsia="Arial" w:cs="Arial"/>
      <w:sz w:val="34"/>
    </w:rPr>
  </w:style>
  <w:style w:type="character" w:styleId="728">
    <w:name w:val="Heading 3 Char"/>
    <w:basedOn w:val="751"/>
    <w:link w:val="744"/>
    <w:uiPriority w:val="9"/>
    <w:rPr>
      <w:rFonts w:ascii="Arial" w:hAnsi="Arial" w:eastAsia="Arial" w:cs="Arial"/>
      <w:sz w:val="30"/>
      <w:szCs w:val="30"/>
    </w:rPr>
  </w:style>
  <w:style w:type="character" w:styleId="729">
    <w:name w:val="Heading 4 Char"/>
    <w:basedOn w:val="751"/>
    <w:link w:val="745"/>
    <w:uiPriority w:val="9"/>
    <w:rPr>
      <w:rFonts w:ascii="Arial" w:hAnsi="Arial" w:eastAsia="Arial" w:cs="Arial"/>
      <w:b/>
      <w:bCs/>
      <w:sz w:val="26"/>
      <w:szCs w:val="26"/>
    </w:rPr>
  </w:style>
  <w:style w:type="character" w:styleId="730">
    <w:name w:val="Heading 5 Char"/>
    <w:basedOn w:val="751"/>
    <w:link w:val="746"/>
    <w:uiPriority w:val="9"/>
    <w:rPr>
      <w:rFonts w:ascii="Arial" w:hAnsi="Arial" w:eastAsia="Arial" w:cs="Arial"/>
      <w:b/>
      <w:bCs/>
      <w:sz w:val="24"/>
      <w:szCs w:val="24"/>
    </w:rPr>
  </w:style>
  <w:style w:type="character" w:styleId="731">
    <w:name w:val="Heading 6 Char"/>
    <w:basedOn w:val="751"/>
    <w:link w:val="747"/>
    <w:uiPriority w:val="9"/>
    <w:rPr>
      <w:rFonts w:ascii="Arial" w:hAnsi="Arial" w:eastAsia="Arial" w:cs="Arial"/>
      <w:b/>
      <w:bCs/>
      <w:sz w:val="22"/>
      <w:szCs w:val="22"/>
    </w:rPr>
  </w:style>
  <w:style w:type="character" w:styleId="732">
    <w:name w:val="Heading 7 Char"/>
    <w:basedOn w:val="751"/>
    <w:link w:val="748"/>
    <w:uiPriority w:val="9"/>
    <w:rPr>
      <w:rFonts w:ascii="Arial" w:hAnsi="Arial" w:eastAsia="Arial" w:cs="Arial"/>
      <w:b/>
      <w:bCs/>
      <w:i/>
      <w:iCs/>
      <w:sz w:val="22"/>
      <w:szCs w:val="22"/>
    </w:rPr>
  </w:style>
  <w:style w:type="character" w:styleId="733">
    <w:name w:val="Heading 8 Char"/>
    <w:basedOn w:val="751"/>
    <w:link w:val="749"/>
    <w:uiPriority w:val="9"/>
    <w:rPr>
      <w:rFonts w:ascii="Arial" w:hAnsi="Arial" w:eastAsia="Arial" w:cs="Arial"/>
      <w:i/>
      <w:iCs/>
      <w:sz w:val="22"/>
      <w:szCs w:val="22"/>
    </w:rPr>
  </w:style>
  <w:style w:type="character" w:styleId="734">
    <w:name w:val="Heading 9 Char"/>
    <w:basedOn w:val="751"/>
    <w:link w:val="750"/>
    <w:uiPriority w:val="9"/>
    <w:rPr>
      <w:rFonts w:ascii="Arial" w:hAnsi="Arial" w:eastAsia="Arial" w:cs="Arial"/>
      <w:i/>
      <w:iCs/>
      <w:sz w:val="21"/>
      <w:szCs w:val="21"/>
    </w:rPr>
  </w:style>
  <w:style w:type="character" w:styleId="735">
    <w:name w:val="Title Char"/>
    <w:basedOn w:val="751"/>
    <w:link w:val="764"/>
    <w:uiPriority w:val="10"/>
    <w:rPr>
      <w:sz w:val="48"/>
      <w:szCs w:val="48"/>
    </w:rPr>
  </w:style>
  <w:style w:type="character" w:styleId="736">
    <w:name w:val="Subtitle Char"/>
    <w:basedOn w:val="751"/>
    <w:link w:val="766"/>
    <w:uiPriority w:val="11"/>
    <w:rPr>
      <w:sz w:val="24"/>
      <w:szCs w:val="24"/>
    </w:rPr>
  </w:style>
  <w:style w:type="character" w:styleId="737">
    <w:name w:val="Quote Char"/>
    <w:link w:val="768"/>
    <w:uiPriority w:val="29"/>
    <w:rPr>
      <w:i/>
    </w:rPr>
  </w:style>
  <w:style w:type="character" w:styleId="738">
    <w:name w:val="Intense Quote Char"/>
    <w:link w:val="770"/>
    <w:uiPriority w:val="30"/>
    <w:rPr>
      <w:i/>
    </w:rPr>
  </w:style>
  <w:style w:type="character" w:styleId="739">
    <w:name w:val="Footnote Text Char"/>
    <w:link w:val="901"/>
    <w:uiPriority w:val="99"/>
    <w:rPr>
      <w:sz w:val="18"/>
    </w:rPr>
  </w:style>
  <w:style w:type="character" w:styleId="740">
    <w:name w:val="Endnote Text Char"/>
    <w:link w:val="904"/>
    <w:uiPriority w:val="99"/>
    <w:rPr>
      <w:sz w:val="20"/>
    </w:rPr>
  </w:style>
  <w:style w:type="paragraph" w:styleId="741" w:default="1">
    <w:name w:val="Normal"/>
    <w:qFormat/>
  </w:style>
  <w:style w:type="paragraph" w:styleId="742">
    <w:name w:val="Heading 1"/>
    <w:basedOn w:val="741"/>
    <w:link w:val="940"/>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43">
    <w:name w:val="Heading 2"/>
    <w:basedOn w:val="741"/>
    <w:next w:val="741"/>
    <w:link w:val="755"/>
    <w:uiPriority w:val="9"/>
    <w:unhideWhenUsed/>
    <w:qFormat/>
    <w:pPr>
      <w:keepLines/>
      <w:keepNext/>
      <w:spacing w:before="360" w:after="200"/>
      <w:outlineLvl w:val="1"/>
    </w:pPr>
    <w:rPr>
      <w:rFonts w:ascii="Arial" w:hAnsi="Arial" w:eastAsia="Arial" w:cs="Arial"/>
      <w:sz w:val="34"/>
    </w:rPr>
  </w:style>
  <w:style w:type="paragraph" w:styleId="744">
    <w:name w:val="Heading 3"/>
    <w:basedOn w:val="741"/>
    <w:next w:val="741"/>
    <w:link w:val="756"/>
    <w:uiPriority w:val="9"/>
    <w:unhideWhenUsed/>
    <w:qFormat/>
    <w:pPr>
      <w:keepLines/>
      <w:keepNext/>
      <w:spacing w:before="320" w:after="200"/>
      <w:outlineLvl w:val="2"/>
    </w:pPr>
    <w:rPr>
      <w:rFonts w:ascii="Arial" w:hAnsi="Arial" w:eastAsia="Arial" w:cs="Arial"/>
      <w:sz w:val="30"/>
      <w:szCs w:val="30"/>
    </w:rPr>
  </w:style>
  <w:style w:type="paragraph" w:styleId="745">
    <w:name w:val="Heading 4"/>
    <w:basedOn w:val="741"/>
    <w:next w:val="741"/>
    <w:link w:val="757"/>
    <w:uiPriority w:val="9"/>
    <w:unhideWhenUsed/>
    <w:qFormat/>
    <w:pPr>
      <w:keepLines/>
      <w:keepNext/>
      <w:spacing w:before="320" w:after="200"/>
      <w:outlineLvl w:val="3"/>
    </w:pPr>
    <w:rPr>
      <w:rFonts w:ascii="Arial" w:hAnsi="Arial" w:eastAsia="Arial" w:cs="Arial"/>
      <w:b/>
      <w:bCs/>
      <w:sz w:val="26"/>
      <w:szCs w:val="26"/>
    </w:rPr>
  </w:style>
  <w:style w:type="paragraph" w:styleId="746">
    <w:name w:val="Heading 5"/>
    <w:basedOn w:val="741"/>
    <w:next w:val="741"/>
    <w:link w:val="758"/>
    <w:uiPriority w:val="9"/>
    <w:unhideWhenUsed/>
    <w:qFormat/>
    <w:pPr>
      <w:keepLines/>
      <w:keepNext/>
      <w:spacing w:before="320" w:after="200"/>
      <w:outlineLvl w:val="4"/>
    </w:pPr>
    <w:rPr>
      <w:rFonts w:ascii="Arial" w:hAnsi="Arial" w:eastAsia="Arial" w:cs="Arial"/>
      <w:b/>
      <w:bCs/>
      <w:sz w:val="24"/>
      <w:szCs w:val="24"/>
    </w:rPr>
  </w:style>
  <w:style w:type="paragraph" w:styleId="747">
    <w:name w:val="Heading 6"/>
    <w:basedOn w:val="741"/>
    <w:next w:val="741"/>
    <w:link w:val="759"/>
    <w:uiPriority w:val="9"/>
    <w:unhideWhenUsed/>
    <w:qFormat/>
    <w:pPr>
      <w:keepLines/>
      <w:keepNext/>
      <w:spacing w:before="320" w:after="200"/>
      <w:outlineLvl w:val="5"/>
    </w:pPr>
    <w:rPr>
      <w:rFonts w:ascii="Arial" w:hAnsi="Arial" w:eastAsia="Arial" w:cs="Arial"/>
      <w:b/>
      <w:bCs/>
    </w:rPr>
  </w:style>
  <w:style w:type="paragraph" w:styleId="748">
    <w:name w:val="Heading 7"/>
    <w:basedOn w:val="741"/>
    <w:next w:val="741"/>
    <w:link w:val="760"/>
    <w:uiPriority w:val="9"/>
    <w:unhideWhenUsed/>
    <w:qFormat/>
    <w:pPr>
      <w:keepLines/>
      <w:keepNext/>
      <w:spacing w:before="320" w:after="200"/>
      <w:outlineLvl w:val="6"/>
    </w:pPr>
    <w:rPr>
      <w:rFonts w:ascii="Arial" w:hAnsi="Arial" w:eastAsia="Arial" w:cs="Arial"/>
      <w:b/>
      <w:bCs/>
      <w:i/>
      <w:iCs/>
    </w:rPr>
  </w:style>
  <w:style w:type="paragraph" w:styleId="749">
    <w:name w:val="Heading 8"/>
    <w:basedOn w:val="741"/>
    <w:next w:val="741"/>
    <w:link w:val="761"/>
    <w:uiPriority w:val="9"/>
    <w:unhideWhenUsed/>
    <w:qFormat/>
    <w:pPr>
      <w:keepLines/>
      <w:keepNext/>
      <w:spacing w:before="320" w:after="200"/>
      <w:outlineLvl w:val="7"/>
    </w:pPr>
    <w:rPr>
      <w:rFonts w:ascii="Arial" w:hAnsi="Arial" w:eastAsia="Arial" w:cs="Arial"/>
      <w:i/>
      <w:iCs/>
    </w:rPr>
  </w:style>
  <w:style w:type="paragraph" w:styleId="750">
    <w:name w:val="Heading 9"/>
    <w:basedOn w:val="741"/>
    <w:next w:val="741"/>
    <w:link w:val="762"/>
    <w:uiPriority w:val="9"/>
    <w:unhideWhenUsed/>
    <w:qFormat/>
    <w:pPr>
      <w:keepLines/>
      <w:keepNext/>
      <w:spacing w:before="320" w:after="200"/>
      <w:outlineLvl w:val="8"/>
    </w:pPr>
    <w:rPr>
      <w:rFonts w:ascii="Arial" w:hAnsi="Arial" w:eastAsia="Arial" w:cs="Arial"/>
      <w:i/>
      <w:iCs/>
      <w:sz w:val="21"/>
      <w:szCs w:val="21"/>
    </w:rPr>
  </w:style>
  <w:style w:type="character" w:styleId="751" w:default="1">
    <w:name w:val="Default Paragraph Font"/>
    <w:uiPriority w:val="1"/>
    <w:semiHidden/>
    <w:unhideWhenUsed/>
  </w:style>
  <w:style w:type="table" w:styleId="752" w:default="1">
    <w:name w:val="Normal Table"/>
    <w:uiPriority w:val="99"/>
    <w:semiHidden/>
    <w:unhideWhenUsed/>
    <w:tblPr>
      <w:tblInd w:w="0" w:type="dxa"/>
      <w:tblCellMar>
        <w:left w:w="108" w:type="dxa"/>
        <w:top w:w="0" w:type="dxa"/>
        <w:right w:w="108" w:type="dxa"/>
        <w:bottom w:w="0" w:type="dxa"/>
      </w:tblCellMar>
    </w:tblPr>
  </w:style>
  <w:style w:type="numbering" w:styleId="753" w:default="1">
    <w:name w:val="No List"/>
    <w:uiPriority w:val="99"/>
    <w:semiHidden/>
    <w:unhideWhenUsed/>
  </w:style>
  <w:style w:type="character" w:styleId="754" w:customStyle="1">
    <w:name w:val="Heading 1 Char"/>
    <w:basedOn w:val="751"/>
    <w:uiPriority w:val="9"/>
    <w:rPr>
      <w:rFonts w:ascii="Arial" w:hAnsi="Arial" w:eastAsia="Arial" w:cs="Arial"/>
      <w:sz w:val="40"/>
      <w:szCs w:val="40"/>
    </w:rPr>
  </w:style>
  <w:style w:type="character" w:styleId="755" w:customStyle="1">
    <w:name w:val="Заголовок 2 Знак"/>
    <w:basedOn w:val="751"/>
    <w:link w:val="743"/>
    <w:uiPriority w:val="9"/>
    <w:rPr>
      <w:rFonts w:ascii="Arial" w:hAnsi="Arial" w:eastAsia="Arial" w:cs="Arial"/>
      <w:sz w:val="34"/>
    </w:rPr>
  </w:style>
  <w:style w:type="character" w:styleId="756" w:customStyle="1">
    <w:name w:val="Заголовок 3 Знак"/>
    <w:basedOn w:val="751"/>
    <w:link w:val="744"/>
    <w:uiPriority w:val="9"/>
    <w:rPr>
      <w:rFonts w:ascii="Arial" w:hAnsi="Arial" w:eastAsia="Arial" w:cs="Arial"/>
      <w:sz w:val="30"/>
      <w:szCs w:val="30"/>
    </w:rPr>
  </w:style>
  <w:style w:type="character" w:styleId="757" w:customStyle="1">
    <w:name w:val="Заголовок 4 Знак"/>
    <w:basedOn w:val="751"/>
    <w:link w:val="745"/>
    <w:uiPriority w:val="9"/>
    <w:rPr>
      <w:rFonts w:ascii="Arial" w:hAnsi="Arial" w:eastAsia="Arial" w:cs="Arial"/>
      <w:b/>
      <w:bCs/>
      <w:sz w:val="26"/>
      <w:szCs w:val="26"/>
    </w:rPr>
  </w:style>
  <w:style w:type="character" w:styleId="758" w:customStyle="1">
    <w:name w:val="Заголовок 5 Знак"/>
    <w:basedOn w:val="751"/>
    <w:link w:val="746"/>
    <w:uiPriority w:val="9"/>
    <w:rPr>
      <w:rFonts w:ascii="Arial" w:hAnsi="Arial" w:eastAsia="Arial" w:cs="Arial"/>
      <w:b/>
      <w:bCs/>
      <w:sz w:val="24"/>
      <w:szCs w:val="24"/>
    </w:rPr>
  </w:style>
  <w:style w:type="character" w:styleId="759" w:customStyle="1">
    <w:name w:val="Заголовок 6 Знак"/>
    <w:basedOn w:val="751"/>
    <w:link w:val="747"/>
    <w:uiPriority w:val="9"/>
    <w:rPr>
      <w:rFonts w:ascii="Arial" w:hAnsi="Arial" w:eastAsia="Arial" w:cs="Arial"/>
      <w:b/>
      <w:bCs/>
      <w:sz w:val="22"/>
      <w:szCs w:val="22"/>
    </w:rPr>
  </w:style>
  <w:style w:type="character" w:styleId="760" w:customStyle="1">
    <w:name w:val="Заголовок 7 Знак"/>
    <w:basedOn w:val="751"/>
    <w:link w:val="748"/>
    <w:uiPriority w:val="9"/>
    <w:rPr>
      <w:rFonts w:ascii="Arial" w:hAnsi="Arial" w:eastAsia="Arial" w:cs="Arial"/>
      <w:b/>
      <w:bCs/>
      <w:i/>
      <w:iCs/>
      <w:sz w:val="22"/>
      <w:szCs w:val="22"/>
    </w:rPr>
  </w:style>
  <w:style w:type="character" w:styleId="761" w:customStyle="1">
    <w:name w:val="Заголовок 8 Знак"/>
    <w:basedOn w:val="751"/>
    <w:link w:val="749"/>
    <w:uiPriority w:val="9"/>
    <w:rPr>
      <w:rFonts w:ascii="Arial" w:hAnsi="Arial" w:eastAsia="Arial" w:cs="Arial"/>
      <w:i/>
      <w:iCs/>
      <w:sz w:val="22"/>
      <w:szCs w:val="22"/>
    </w:rPr>
  </w:style>
  <w:style w:type="character" w:styleId="762" w:customStyle="1">
    <w:name w:val="Заголовок 9 Знак"/>
    <w:basedOn w:val="751"/>
    <w:link w:val="750"/>
    <w:uiPriority w:val="9"/>
    <w:rPr>
      <w:rFonts w:ascii="Arial" w:hAnsi="Arial" w:eastAsia="Arial" w:cs="Arial"/>
      <w:i/>
      <w:iCs/>
      <w:sz w:val="21"/>
      <w:szCs w:val="21"/>
    </w:rPr>
  </w:style>
  <w:style w:type="paragraph" w:styleId="763">
    <w:name w:val="No Spacing"/>
    <w:uiPriority w:val="1"/>
    <w:qFormat/>
    <w:pPr>
      <w:spacing w:after="0" w:line="240" w:lineRule="auto"/>
    </w:pPr>
  </w:style>
  <w:style w:type="paragraph" w:styleId="764">
    <w:name w:val="Title"/>
    <w:basedOn w:val="741"/>
    <w:next w:val="741"/>
    <w:link w:val="765"/>
    <w:uiPriority w:val="10"/>
    <w:qFormat/>
    <w:pPr>
      <w:contextualSpacing/>
      <w:spacing w:before="300" w:after="200"/>
    </w:pPr>
    <w:rPr>
      <w:sz w:val="48"/>
      <w:szCs w:val="48"/>
    </w:rPr>
  </w:style>
  <w:style w:type="character" w:styleId="765" w:customStyle="1">
    <w:name w:val="Название Знак"/>
    <w:basedOn w:val="751"/>
    <w:link w:val="764"/>
    <w:uiPriority w:val="10"/>
    <w:rPr>
      <w:sz w:val="48"/>
      <w:szCs w:val="48"/>
    </w:rPr>
  </w:style>
  <w:style w:type="paragraph" w:styleId="766">
    <w:name w:val="Subtitle"/>
    <w:basedOn w:val="741"/>
    <w:next w:val="741"/>
    <w:link w:val="767"/>
    <w:uiPriority w:val="11"/>
    <w:qFormat/>
    <w:pPr>
      <w:spacing w:before="200" w:after="200"/>
    </w:pPr>
    <w:rPr>
      <w:sz w:val="24"/>
      <w:szCs w:val="24"/>
    </w:rPr>
  </w:style>
  <w:style w:type="character" w:styleId="767" w:customStyle="1">
    <w:name w:val="Подзаголовок Знак"/>
    <w:basedOn w:val="751"/>
    <w:link w:val="766"/>
    <w:uiPriority w:val="11"/>
    <w:rPr>
      <w:sz w:val="24"/>
      <w:szCs w:val="24"/>
    </w:rPr>
  </w:style>
  <w:style w:type="paragraph" w:styleId="768">
    <w:name w:val="Quote"/>
    <w:basedOn w:val="741"/>
    <w:next w:val="741"/>
    <w:link w:val="769"/>
    <w:uiPriority w:val="29"/>
    <w:qFormat/>
    <w:pPr>
      <w:ind w:left="720" w:right="720"/>
    </w:pPr>
    <w:rPr>
      <w:i/>
    </w:rPr>
  </w:style>
  <w:style w:type="character" w:styleId="769" w:customStyle="1">
    <w:name w:val="Цитата 2 Знак"/>
    <w:link w:val="768"/>
    <w:uiPriority w:val="29"/>
    <w:rPr>
      <w:i/>
    </w:rPr>
  </w:style>
  <w:style w:type="paragraph" w:styleId="770">
    <w:name w:val="Intense Quote"/>
    <w:basedOn w:val="741"/>
    <w:next w:val="741"/>
    <w:link w:val="77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1" w:customStyle="1">
    <w:name w:val="Выделенная цитата Знак"/>
    <w:link w:val="770"/>
    <w:uiPriority w:val="30"/>
    <w:rPr>
      <w:i/>
    </w:rPr>
  </w:style>
  <w:style w:type="character" w:styleId="772" w:customStyle="1">
    <w:name w:val="Header Char"/>
    <w:basedOn w:val="751"/>
    <w:uiPriority w:val="99"/>
  </w:style>
  <w:style w:type="character" w:styleId="773" w:customStyle="1">
    <w:name w:val="Footer Char"/>
    <w:basedOn w:val="751"/>
    <w:uiPriority w:val="99"/>
  </w:style>
  <w:style w:type="paragraph" w:styleId="774">
    <w:name w:val="Caption"/>
    <w:basedOn w:val="741"/>
    <w:next w:val="741"/>
    <w:uiPriority w:val="35"/>
    <w:semiHidden/>
    <w:unhideWhenUsed/>
    <w:qFormat/>
    <w:pPr>
      <w:spacing w:line="276" w:lineRule="auto"/>
    </w:pPr>
    <w:rPr>
      <w:b/>
      <w:bCs/>
      <w:color w:val="5b9bd5" w:themeColor="accent1"/>
      <w:sz w:val="18"/>
      <w:szCs w:val="18"/>
    </w:rPr>
  </w:style>
  <w:style w:type="character" w:styleId="775" w:customStyle="1">
    <w:name w:val="Caption Char"/>
    <w:uiPriority w:val="99"/>
  </w:style>
  <w:style w:type="table" w:styleId="776" w:customStyle="1">
    <w:name w:val="Table Grid Light"/>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77">
    <w:name w:val="Plain Table 1"/>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8">
    <w:name w:val="Plain Table 2"/>
    <w:basedOn w:val="7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0">
    <w:name w:val="Plain Table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1">
    <w:name w:val="Plain Table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2">
    <w:name w:val="Grid Table 1 Light"/>
    <w:basedOn w:val="752"/>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9">
    <w:name w:val="Grid Table 2"/>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0" w:customStyle="1">
    <w:name w:val="Grid Table 2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1" w:customStyle="1">
    <w:name w:val="Grid Table 2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2" w:customStyle="1">
    <w:name w:val="Grid Table 2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3" w:customStyle="1">
    <w:name w:val="Grid Table 2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4" w:customStyle="1">
    <w:name w:val="Grid Table 2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5" w:customStyle="1">
    <w:name w:val="Grid Table 2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6">
    <w:name w:val="Grid Table 3"/>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name w:val="Grid Table 4"/>
    <w:basedOn w:val="752"/>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4" w:customStyle="1">
    <w:name w:val="Grid Table 4 - Accent 1"/>
    <w:basedOn w:val="752"/>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5" w:customStyle="1">
    <w:name w:val="Grid Table 4 - Accent 2"/>
    <w:basedOn w:val="752"/>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6" w:customStyle="1">
    <w:name w:val="Grid Table 4 - Accent 3"/>
    <w:basedOn w:val="752"/>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7" w:customStyle="1">
    <w:name w:val="Grid Table 4 - Accent 4"/>
    <w:basedOn w:val="752"/>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8" w:customStyle="1">
    <w:name w:val="Grid Table 4 - Accent 5"/>
    <w:basedOn w:val="752"/>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09" w:customStyle="1">
    <w:name w:val="Grid Table 4 - Accent 6"/>
    <w:basedOn w:val="752"/>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0">
    <w:name w:val="Grid Table 5 Dark"/>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1" w:customStyle="1">
    <w:name w:val="Grid Table 5 Dark- Accent 1"/>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2" w:customStyle="1">
    <w:name w:val="Grid Table 5 Dark - Accent 2"/>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3" w:customStyle="1">
    <w:name w:val="Grid Table 5 Dark - Accent 3"/>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4" w:customStyle="1">
    <w:name w:val="Grid Table 5 Dark- Accent 4"/>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5" w:customStyle="1">
    <w:name w:val="Grid Table 5 Dark - Accent 5"/>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6" w:customStyle="1">
    <w:name w:val="Grid Table 5 Dark - Accent 6"/>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7">
    <w:name w:val="Grid Table 6 Colorful"/>
    <w:basedOn w:val="752"/>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8" w:customStyle="1">
    <w:name w:val="Grid Table 6 Colorful - Accent 1"/>
    <w:basedOn w:val="752"/>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19" w:customStyle="1">
    <w:name w:val="Grid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0" w:customStyle="1">
    <w:name w:val="Grid Table 6 Colorful - Accent 3"/>
    <w:basedOn w:val="752"/>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1" w:customStyle="1">
    <w:name w:val="Grid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2" w:customStyle="1">
    <w:name w:val="Grid Table 6 Colorful - Accent 5"/>
    <w:basedOn w:val="752"/>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3" w:customStyle="1">
    <w:name w:val="Grid Table 6 Colorful - Accent 6"/>
    <w:basedOn w:val="752"/>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4">
    <w:name w:val="Grid Table 7 Colorful"/>
    <w:basedOn w:val="752"/>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5" w:customStyle="1">
    <w:name w:val="Grid Table 7 Colorful - Accent 1"/>
    <w:basedOn w:val="752"/>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26" w:customStyle="1">
    <w:name w:val="Grid Table 7 Colorful - Accent 2"/>
    <w:basedOn w:val="752"/>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7" w:customStyle="1">
    <w:name w:val="Grid Table 7 Colorful - Accent 3"/>
    <w:basedOn w:val="752"/>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28" w:customStyle="1">
    <w:name w:val="Grid Table 7 Colorful - Accent 4"/>
    <w:basedOn w:val="752"/>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9" w:customStyle="1">
    <w:name w:val="Grid Table 7 Colorful - Accent 5"/>
    <w:basedOn w:val="752"/>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30" w:customStyle="1">
    <w:name w:val="Grid Table 7 Colorful - Accent 6"/>
    <w:basedOn w:val="752"/>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31">
    <w:name w:val="List Table 1 Light"/>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2" w:customStyle="1">
    <w:name w:val="List Table 1 Light - Accent 1"/>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3" w:customStyle="1">
    <w:name w:val="List Table 1 Light - Accent 2"/>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4" w:customStyle="1">
    <w:name w:val="List Table 1 Light - Accent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5" w:customStyle="1">
    <w:name w:val="List Table 1 Light - Accent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6" w:customStyle="1">
    <w:name w:val="List Table 1 Light - Accent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7" w:customStyle="1">
    <w:name w:val="List Table 1 Light - Accent 6"/>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8">
    <w:name w:val="List Table 2"/>
    <w:basedOn w:val="752"/>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9" w:customStyle="1">
    <w:name w:val="List Table 2 - Accent 1"/>
    <w:basedOn w:val="752"/>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0" w:customStyle="1">
    <w:name w:val="List Table 2 - Accent 2"/>
    <w:basedOn w:val="752"/>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1" w:customStyle="1">
    <w:name w:val="List Table 2 - Accent 3"/>
    <w:basedOn w:val="752"/>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2" w:customStyle="1">
    <w:name w:val="List Table 2 - Accent 4"/>
    <w:basedOn w:val="752"/>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3" w:customStyle="1">
    <w:name w:val="List Table 2 - Accent 5"/>
    <w:basedOn w:val="752"/>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4" w:customStyle="1">
    <w:name w:val="List Table 2 - Accent 6"/>
    <w:basedOn w:val="752"/>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5">
    <w:name w:val="List Table 3"/>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6" w:customStyle="1">
    <w:name w:val="List Table 3 - Accent 1"/>
    <w:basedOn w:val="752"/>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7" w:customStyle="1">
    <w:name w:val="List Table 3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8" w:customStyle="1">
    <w:name w:val="List Table 3 - Accent 3"/>
    <w:basedOn w:val="752"/>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9" w:customStyle="1">
    <w:name w:val="List Table 3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0" w:customStyle="1">
    <w:name w:val="List Table 3 - Accent 5"/>
    <w:basedOn w:val="752"/>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1" w:customStyle="1">
    <w:name w:val="List Table 3 - Accent 6"/>
    <w:basedOn w:val="752"/>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2">
    <w:name w:val="List Table 4"/>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3" w:customStyle="1">
    <w:name w:val="List Table 4 - Accent 1"/>
    <w:basedOn w:val="752"/>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4" w:customStyle="1">
    <w:name w:val="List Table 4 - Accent 2"/>
    <w:basedOn w:val="752"/>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5" w:customStyle="1">
    <w:name w:val="List Table 4 - Accent 3"/>
    <w:basedOn w:val="752"/>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6" w:customStyle="1">
    <w:name w:val="List Table 4 - Accent 4"/>
    <w:basedOn w:val="752"/>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7" w:customStyle="1">
    <w:name w:val="List Table 4 - Accent 5"/>
    <w:basedOn w:val="752"/>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8" w:customStyle="1">
    <w:name w:val="List Table 4 - Accent 6"/>
    <w:basedOn w:val="752"/>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9">
    <w:name w:val="List Table 5 Dark"/>
    <w:basedOn w:val="752"/>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0" w:customStyle="1">
    <w:name w:val="List Table 5 Dark - Accent 1"/>
    <w:basedOn w:val="752"/>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1" w:customStyle="1">
    <w:name w:val="List Table 5 Dark - Accent 2"/>
    <w:basedOn w:val="752"/>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2" w:customStyle="1">
    <w:name w:val="List Table 5 Dark - Accent 3"/>
    <w:basedOn w:val="752"/>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3" w:customStyle="1">
    <w:name w:val="List Table 5 Dark - Accent 4"/>
    <w:basedOn w:val="752"/>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4" w:customStyle="1">
    <w:name w:val="List Table 5 Dark - Accent 5"/>
    <w:basedOn w:val="752"/>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5" w:customStyle="1">
    <w:name w:val="List Table 5 Dark - Accent 6"/>
    <w:basedOn w:val="752"/>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6">
    <w:name w:val="List Table 6 Colorful"/>
    <w:basedOn w:val="752"/>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7" w:customStyle="1">
    <w:name w:val="List Table 6 Colorful - Accent 1"/>
    <w:basedOn w:val="752"/>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8" w:customStyle="1">
    <w:name w:val="List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9" w:customStyle="1">
    <w:name w:val="List Table 6 Colorful - Accent 3"/>
    <w:basedOn w:val="752"/>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0" w:customStyle="1">
    <w:name w:val="List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1" w:customStyle="1">
    <w:name w:val="List Table 6 Colorful - Accent 5"/>
    <w:basedOn w:val="752"/>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2" w:customStyle="1">
    <w:name w:val="List Table 6 Colorful - Accent 6"/>
    <w:basedOn w:val="752"/>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3">
    <w:name w:val="List Table 7 Colorful"/>
    <w:basedOn w:val="752"/>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4" w:customStyle="1">
    <w:name w:val="List Table 7 Colorful - Accent 1"/>
    <w:basedOn w:val="752"/>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75" w:customStyle="1">
    <w:name w:val="List Table 7 Colorful - Accent 2"/>
    <w:basedOn w:val="752"/>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76" w:customStyle="1">
    <w:name w:val="List Table 7 Colorful - Accent 3"/>
    <w:basedOn w:val="752"/>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77" w:customStyle="1">
    <w:name w:val="List Table 7 Colorful - Accent 4"/>
    <w:basedOn w:val="752"/>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8" w:customStyle="1">
    <w:name w:val="List Table 7 Colorful - Accent 5"/>
    <w:basedOn w:val="752"/>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79" w:customStyle="1">
    <w:name w:val="List Table 7 Colorful - Accent 6"/>
    <w:basedOn w:val="752"/>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80" w:customStyle="1">
    <w:name w:val="Lined - Accent"/>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1" w:customStyle="1">
    <w:name w:val="Lined - Accent 1"/>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2" w:customStyle="1">
    <w:name w:val="Lined - Accent 2"/>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3" w:customStyle="1">
    <w:name w:val="Lined - Accent 3"/>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4" w:customStyle="1">
    <w:name w:val="Lined - Accent 4"/>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5" w:customStyle="1">
    <w:name w:val="Lined - Accent 5"/>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6" w:customStyle="1">
    <w:name w:val="Lined - Accent 6"/>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7" w:customStyle="1">
    <w:name w:val="Bordered &amp; Lined - Accent"/>
    <w:basedOn w:val="752"/>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8" w:customStyle="1">
    <w:name w:val="Bordered &amp; Lined - Accent 1"/>
    <w:basedOn w:val="752"/>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9" w:customStyle="1">
    <w:name w:val="Bordered &amp; Lined - Accent 2"/>
    <w:basedOn w:val="752"/>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0" w:customStyle="1">
    <w:name w:val="Bordered &amp; Lined - Accent 3"/>
    <w:basedOn w:val="752"/>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1" w:customStyle="1">
    <w:name w:val="Bordered &amp; Lined - Accent 4"/>
    <w:basedOn w:val="752"/>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2" w:customStyle="1">
    <w:name w:val="Bordered &amp; Lined - Accent 5"/>
    <w:basedOn w:val="752"/>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3" w:customStyle="1">
    <w:name w:val="Bordered &amp; Lined - Accent 6"/>
    <w:basedOn w:val="752"/>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4" w:customStyle="1">
    <w:name w:val="Bordered"/>
    <w:basedOn w:val="752"/>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5" w:customStyle="1">
    <w:name w:val="Bordered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6" w:customStyle="1">
    <w:name w:val="Bordered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7" w:customStyle="1">
    <w:name w:val="Bordered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8" w:customStyle="1">
    <w:name w:val="Bordered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9" w:customStyle="1">
    <w:name w:val="Bordered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0" w:customStyle="1">
    <w:name w:val="Bordered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1">
    <w:name w:val="footnote text"/>
    <w:basedOn w:val="741"/>
    <w:link w:val="902"/>
    <w:uiPriority w:val="99"/>
    <w:semiHidden/>
    <w:unhideWhenUsed/>
    <w:pPr>
      <w:spacing w:after="40" w:line="240" w:lineRule="auto"/>
    </w:pPr>
    <w:rPr>
      <w:sz w:val="18"/>
    </w:rPr>
  </w:style>
  <w:style w:type="character" w:styleId="902" w:customStyle="1">
    <w:name w:val="Текст сноски Знак"/>
    <w:link w:val="901"/>
    <w:uiPriority w:val="99"/>
    <w:rPr>
      <w:sz w:val="18"/>
    </w:rPr>
  </w:style>
  <w:style w:type="character" w:styleId="903">
    <w:name w:val="footnote reference"/>
    <w:basedOn w:val="751"/>
    <w:uiPriority w:val="99"/>
    <w:unhideWhenUsed/>
    <w:rPr>
      <w:vertAlign w:val="superscript"/>
    </w:rPr>
  </w:style>
  <w:style w:type="paragraph" w:styleId="904">
    <w:name w:val="endnote text"/>
    <w:basedOn w:val="741"/>
    <w:link w:val="905"/>
    <w:uiPriority w:val="99"/>
    <w:semiHidden/>
    <w:unhideWhenUsed/>
    <w:pPr>
      <w:spacing w:after="0" w:line="240" w:lineRule="auto"/>
    </w:pPr>
    <w:rPr>
      <w:sz w:val="20"/>
    </w:rPr>
  </w:style>
  <w:style w:type="character" w:styleId="905" w:customStyle="1">
    <w:name w:val="Текст концевой сноски Знак"/>
    <w:link w:val="904"/>
    <w:uiPriority w:val="99"/>
    <w:rPr>
      <w:sz w:val="20"/>
    </w:rPr>
  </w:style>
  <w:style w:type="character" w:styleId="906">
    <w:name w:val="endnote reference"/>
    <w:basedOn w:val="751"/>
    <w:uiPriority w:val="99"/>
    <w:semiHidden/>
    <w:unhideWhenUsed/>
    <w:rPr>
      <w:vertAlign w:val="superscript"/>
    </w:rPr>
  </w:style>
  <w:style w:type="paragraph" w:styleId="907">
    <w:name w:val="toc 1"/>
    <w:basedOn w:val="741"/>
    <w:next w:val="741"/>
    <w:uiPriority w:val="39"/>
    <w:unhideWhenUsed/>
    <w:pPr>
      <w:spacing w:after="57"/>
    </w:pPr>
  </w:style>
  <w:style w:type="paragraph" w:styleId="908">
    <w:name w:val="toc 2"/>
    <w:basedOn w:val="741"/>
    <w:next w:val="741"/>
    <w:uiPriority w:val="39"/>
    <w:unhideWhenUsed/>
    <w:pPr>
      <w:ind w:left="283"/>
      <w:spacing w:after="57"/>
    </w:pPr>
  </w:style>
  <w:style w:type="paragraph" w:styleId="909">
    <w:name w:val="toc 3"/>
    <w:basedOn w:val="741"/>
    <w:next w:val="741"/>
    <w:uiPriority w:val="39"/>
    <w:unhideWhenUsed/>
    <w:pPr>
      <w:ind w:left="567"/>
      <w:spacing w:after="57"/>
    </w:pPr>
  </w:style>
  <w:style w:type="paragraph" w:styleId="910">
    <w:name w:val="toc 4"/>
    <w:basedOn w:val="741"/>
    <w:next w:val="741"/>
    <w:uiPriority w:val="39"/>
    <w:unhideWhenUsed/>
    <w:pPr>
      <w:ind w:left="850"/>
      <w:spacing w:after="57"/>
    </w:pPr>
  </w:style>
  <w:style w:type="paragraph" w:styleId="911">
    <w:name w:val="toc 5"/>
    <w:basedOn w:val="741"/>
    <w:next w:val="741"/>
    <w:uiPriority w:val="39"/>
    <w:unhideWhenUsed/>
    <w:pPr>
      <w:ind w:left="1134"/>
      <w:spacing w:after="57"/>
    </w:pPr>
  </w:style>
  <w:style w:type="paragraph" w:styleId="912">
    <w:name w:val="toc 6"/>
    <w:basedOn w:val="741"/>
    <w:next w:val="741"/>
    <w:uiPriority w:val="39"/>
    <w:unhideWhenUsed/>
    <w:pPr>
      <w:ind w:left="1417"/>
      <w:spacing w:after="57"/>
    </w:pPr>
  </w:style>
  <w:style w:type="paragraph" w:styleId="913">
    <w:name w:val="toc 7"/>
    <w:basedOn w:val="741"/>
    <w:next w:val="741"/>
    <w:uiPriority w:val="39"/>
    <w:unhideWhenUsed/>
    <w:pPr>
      <w:ind w:left="1701"/>
      <w:spacing w:after="57"/>
    </w:pPr>
  </w:style>
  <w:style w:type="paragraph" w:styleId="914">
    <w:name w:val="toc 8"/>
    <w:basedOn w:val="741"/>
    <w:next w:val="741"/>
    <w:uiPriority w:val="39"/>
    <w:unhideWhenUsed/>
    <w:pPr>
      <w:ind w:left="1984"/>
      <w:spacing w:after="57"/>
    </w:pPr>
  </w:style>
  <w:style w:type="paragraph" w:styleId="915">
    <w:name w:val="toc 9"/>
    <w:basedOn w:val="741"/>
    <w:next w:val="741"/>
    <w:uiPriority w:val="39"/>
    <w:unhideWhenUsed/>
    <w:pPr>
      <w:ind w:left="2268"/>
      <w:spacing w:after="57"/>
    </w:pPr>
  </w:style>
  <w:style w:type="paragraph" w:styleId="916">
    <w:name w:val="TOC Heading"/>
    <w:uiPriority w:val="39"/>
    <w:unhideWhenUsed/>
  </w:style>
  <w:style w:type="paragraph" w:styleId="917">
    <w:name w:val="table of figures"/>
    <w:basedOn w:val="741"/>
    <w:next w:val="741"/>
    <w:uiPriority w:val="99"/>
    <w:unhideWhenUsed/>
    <w:pPr>
      <w:spacing w:after="0"/>
    </w:pPr>
  </w:style>
  <w:style w:type="table" w:styleId="918">
    <w:name w:val="Table Grid"/>
    <w:basedOn w:val="752"/>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19" w:customStyle="1">
    <w:name w:val="Сетка таблицы6"/>
    <w:basedOn w:val="752"/>
    <w:next w:val="918"/>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0" w:customStyle="1">
    <w:name w:val="Сетка таблицы1"/>
    <w:basedOn w:val="752"/>
    <w:next w:val="9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1">
    <w:name w:val="Hyperlink"/>
    <w:basedOn w:val="751"/>
    <w:uiPriority w:val="99"/>
    <w:unhideWhenUsed/>
    <w:rPr>
      <w:color w:val="0563c1" w:themeColor="hyperlink"/>
      <w:u w:val="single"/>
    </w:rPr>
  </w:style>
  <w:style w:type="paragraph" w:styleId="922" w:customStyle="1">
    <w:name w:val="ConsPlusNormal"/>
    <w:link w:val="935"/>
    <w:qFormat/>
    <w:pPr>
      <w:spacing w:after="0" w:line="240" w:lineRule="auto"/>
      <w:widowControl w:val="off"/>
    </w:pPr>
    <w:rPr>
      <w:rFonts w:ascii="Calibri" w:hAnsi="Calibri" w:eastAsia="Times New Roman" w:cs="Calibri"/>
      <w:szCs w:val="20"/>
      <w:lang w:eastAsia="ru-RU"/>
    </w:rPr>
  </w:style>
  <w:style w:type="paragraph" w:styleId="923">
    <w:name w:val="List Paragraph"/>
    <w:basedOn w:val="741"/>
    <w:uiPriority w:val="34"/>
    <w:qFormat/>
    <w:pPr>
      <w:contextualSpacing/>
      <w:ind w:left="720"/>
    </w:pPr>
  </w:style>
  <w:style w:type="character" w:styleId="924">
    <w:name w:val="FollowedHyperlink"/>
    <w:basedOn w:val="751"/>
    <w:uiPriority w:val="99"/>
    <w:semiHidden/>
    <w:unhideWhenUsed/>
    <w:rPr>
      <w:color w:val="800080"/>
      <w:u w:val="single"/>
    </w:rPr>
  </w:style>
  <w:style w:type="character" w:styleId="925" w:customStyle="1">
    <w:name w:val="Основной текст_"/>
    <w:basedOn w:val="751"/>
    <w:link w:val="926"/>
    <w:rPr>
      <w:rFonts w:ascii="Times New Roman" w:hAnsi="Times New Roman" w:eastAsia="Times New Roman" w:cs="Times New Roman"/>
      <w:shd w:val="clear" w:color="auto" w:fill="ffffff"/>
    </w:rPr>
  </w:style>
  <w:style w:type="paragraph" w:styleId="926" w:customStyle="1">
    <w:name w:val="Основной текст13"/>
    <w:basedOn w:val="741"/>
    <w:link w:val="925"/>
    <w:pPr>
      <w:ind w:hanging="620"/>
      <w:spacing w:before="780" w:after="60" w:line="0" w:lineRule="atLeast"/>
      <w:shd w:val="clear" w:color="auto" w:fill="ffffff"/>
    </w:pPr>
    <w:rPr>
      <w:rFonts w:ascii="Times New Roman" w:hAnsi="Times New Roman" w:eastAsia="Times New Roman" w:cs="Times New Roman"/>
    </w:rPr>
  </w:style>
  <w:style w:type="paragraph" w:styleId="927" w:customStyle="1">
    <w:name w:val="xl65"/>
    <w:basedOn w:val="741"/>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28" w:customStyle="1">
    <w:name w:val="Основной текст (2)_"/>
    <w:basedOn w:val="751"/>
    <w:link w:val="929"/>
    <w:rPr>
      <w:rFonts w:ascii="Times New Roman" w:hAnsi="Times New Roman" w:eastAsia="Times New Roman" w:cs="Times New Roman"/>
      <w:shd w:val="clear" w:color="auto" w:fill="ffffff"/>
    </w:rPr>
  </w:style>
  <w:style w:type="paragraph" w:styleId="929" w:customStyle="1">
    <w:name w:val="Основной текст (2)"/>
    <w:basedOn w:val="741"/>
    <w:link w:val="928"/>
    <w:pPr>
      <w:spacing w:after="1140" w:line="0" w:lineRule="atLeast"/>
      <w:shd w:val="clear" w:color="auto" w:fill="ffffff"/>
    </w:pPr>
    <w:rPr>
      <w:rFonts w:ascii="Times New Roman" w:hAnsi="Times New Roman" w:eastAsia="Times New Roman" w:cs="Times New Roman"/>
    </w:rPr>
  </w:style>
  <w:style w:type="paragraph" w:styleId="930"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931">
    <w:name w:val="Header"/>
    <w:basedOn w:val="741"/>
    <w:link w:val="932"/>
    <w:uiPriority w:val="99"/>
    <w:unhideWhenUsed/>
    <w:pPr>
      <w:spacing w:after="0" w:line="240" w:lineRule="auto"/>
      <w:tabs>
        <w:tab w:val="center" w:pos="4677" w:leader="none"/>
        <w:tab w:val="right" w:pos="9355" w:leader="none"/>
      </w:tabs>
    </w:pPr>
  </w:style>
  <w:style w:type="character" w:styleId="932" w:customStyle="1">
    <w:name w:val="Верхний колонтитул Знак"/>
    <w:basedOn w:val="751"/>
    <w:link w:val="931"/>
    <w:uiPriority w:val="99"/>
  </w:style>
  <w:style w:type="paragraph" w:styleId="933">
    <w:name w:val="Footer"/>
    <w:basedOn w:val="741"/>
    <w:link w:val="934"/>
    <w:uiPriority w:val="99"/>
    <w:semiHidden/>
    <w:unhideWhenUsed/>
    <w:pPr>
      <w:spacing w:after="0" w:line="240" w:lineRule="auto"/>
      <w:tabs>
        <w:tab w:val="center" w:pos="4677" w:leader="none"/>
        <w:tab w:val="right" w:pos="9355" w:leader="none"/>
      </w:tabs>
    </w:pPr>
  </w:style>
  <w:style w:type="character" w:styleId="934" w:customStyle="1">
    <w:name w:val="Нижний колонтитул Знак"/>
    <w:basedOn w:val="751"/>
    <w:link w:val="933"/>
    <w:uiPriority w:val="99"/>
    <w:semiHidden/>
  </w:style>
  <w:style w:type="character" w:styleId="935" w:customStyle="1">
    <w:name w:val="ConsPlusNormal Знак"/>
    <w:link w:val="922"/>
    <w:rPr>
      <w:rFonts w:ascii="Calibri" w:hAnsi="Calibri" w:eastAsia="Times New Roman" w:cs="Calibri"/>
      <w:szCs w:val="20"/>
      <w:lang w:eastAsia="ru-RU"/>
    </w:rPr>
  </w:style>
  <w:style w:type="paragraph" w:styleId="936" w:customStyle="1">
    <w:name w:val="Основной текст1"/>
    <w:basedOn w:val="741"/>
    <w:uiPriority w:val="99"/>
    <w:pPr>
      <w:ind w:left="23" w:right="23"/>
      <w:jc w:val="both"/>
      <w:spacing w:after="0" w:line="240" w:lineRule="atLeast"/>
      <w:shd w:val="clear" w:color="auto" w:fill="ffffff"/>
    </w:pPr>
    <w:rPr>
      <w:rFonts w:ascii="Times New Roman" w:hAnsi="Times New Roman" w:eastAsia="Calibri" w:cs="Times New Roman"/>
      <w:sz w:val="20"/>
      <w:szCs w:val="20"/>
    </w:rPr>
  </w:style>
  <w:style w:type="paragraph" w:styleId="937">
    <w:name w:val="Body Text"/>
    <w:basedOn w:val="741"/>
    <w:link w:val="938"/>
    <w:pPr>
      <w:spacing w:after="120" w:line="240" w:lineRule="auto"/>
    </w:pPr>
    <w:rPr>
      <w:rFonts w:ascii="Times New Roman" w:hAnsi="Times New Roman" w:eastAsia="Times New Roman" w:cs="Times New Roman"/>
      <w:sz w:val="20"/>
      <w:szCs w:val="20"/>
      <w:lang w:eastAsia="ru-RU"/>
    </w:rPr>
  </w:style>
  <w:style w:type="character" w:styleId="938" w:customStyle="1">
    <w:name w:val="Основной текст Знак"/>
    <w:basedOn w:val="751"/>
    <w:link w:val="937"/>
    <w:rPr>
      <w:rFonts w:ascii="Times New Roman" w:hAnsi="Times New Roman" w:eastAsia="Times New Roman" w:cs="Times New Roman"/>
      <w:sz w:val="20"/>
      <w:szCs w:val="20"/>
      <w:lang w:eastAsia="ru-RU"/>
    </w:rPr>
  </w:style>
  <w:style w:type="paragraph" w:styleId="939" w:customStyle="1">
    <w:name w:val="ConsPlusCell"/>
    <w:uiPriority w:val="99"/>
    <w:pPr>
      <w:spacing w:after="0" w:line="240" w:lineRule="auto"/>
      <w:widowControl w:val="off"/>
    </w:pPr>
    <w:rPr>
      <w:rFonts w:ascii="Calibri" w:hAnsi="Calibri" w:eastAsia="Times New Roman" w:cs="Calibri"/>
      <w:lang w:eastAsia="ru-RU"/>
    </w:rPr>
  </w:style>
  <w:style w:type="character" w:styleId="940" w:customStyle="1">
    <w:name w:val="Заголовок 1 Знак"/>
    <w:basedOn w:val="751"/>
    <w:link w:val="742"/>
    <w:uiPriority w:val="9"/>
    <w:rPr>
      <w:rFonts w:ascii="Times New Roman" w:hAnsi="Times New Roman" w:eastAsia="Times New Roman" w:cs="Times New Roman"/>
      <w:b/>
      <w:bCs/>
      <w:sz w:val="48"/>
      <w:szCs w:val="48"/>
      <w:lang w:eastAsia="ru-RU"/>
    </w:rPr>
  </w:style>
  <w:style w:type="character" w:styleId="941" w:customStyle="1">
    <w:name w:val="Цветовое выделение для Нормальный"/>
    <w:uiPriority w:val="99"/>
    <w:rPr>
      <w:sz w:val="20"/>
      <w:szCs w:val="20"/>
    </w:rPr>
  </w:style>
  <w:style w:type="character" w:styleId="942">
    <w:name w:val="Strong"/>
    <w:uiPriority w:val="22"/>
    <w:qFormat/>
    <w:rPr>
      <w:b/>
      <w:bCs/>
    </w:rPr>
  </w:style>
  <w:style w:type="paragraph" w:styleId="943">
    <w:name w:val="Balloon Text"/>
    <w:basedOn w:val="741"/>
    <w:link w:val="944"/>
    <w:uiPriority w:val="99"/>
    <w:semiHidden/>
    <w:unhideWhenUsed/>
    <w:pPr>
      <w:spacing w:after="0" w:line="240" w:lineRule="auto"/>
    </w:pPr>
    <w:rPr>
      <w:rFonts w:ascii="Segoe UI" w:hAnsi="Segoe UI" w:cs="Segoe UI"/>
      <w:sz w:val="18"/>
      <w:szCs w:val="18"/>
    </w:rPr>
  </w:style>
  <w:style w:type="character" w:styleId="944" w:customStyle="1">
    <w:name w:val="Текст выноски Знак"/>
    <w:basedOn w:val="751"/>
    <w:link w:val="943"/>
    <w:uiPriority w:val="99"/>
    <w:semiHidden/>
    <w:rPr>
      <w:rFonts w:ascii="Segoe UI" w:hAnsi="Segoe UI" w:cs="Segoe UI"/>
      <w:sz w:val="18"/>
      <w:szCs w:val="18"/>
    </w:rPr>
  </w:style>
  <w:style w:type="character" w:styleId="945" w:customStyle="1">
    <w:name w:val="blk"/>
    <w:basedOn w:val="751"/>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ED87-363D-4FD3-B962-A659B4E9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102</cp:revision>
  <dcterms:created xsi:type="dcterms:W3CDTF">2019-07-06T05:31:00Z</dcterms:created>
  <dcterms:modified xsi:type="dcterms:W3CDTF">2025-08-01T05:37:31Z</dcterms:modified>
</cp:coreProperties>
</file>