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01»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90 о.д.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6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(4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ТСПК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Исполнительным органом государственной власти Забайкальского края,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4482"/>
      </w:tblGrid>
      <w:tr>
        <w:tblPrEx/>
        <w:trPr>
          <w:trHeight w:val="6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2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284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284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6"/>
        <w:gridCol w:w="2826"/>
        <w:gridCol w:w="5954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 оказанию услуг и (или)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казанию услуг и (или) выполнению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оказание услуг и (или) выполнение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электронном аукционе, в задании на разработку проектной документации.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Проектно-сметная документация разрабатывается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объеме, необходимом для проведения капитального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ремонта общего имущества многоквартирного дома,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соответствии с нормами действующего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25.06.2002 г. № 73-ФЗ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 культурного наследия (памятниках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Российской Федерации от 04.05.2011 г. № 99-ФЗ «О лицензировании отдельных видов деятельности»;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19 апреля 2012 года № 349 «О лицензировании деятельности по сохранению объектов культурного наследия (памятников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55528-2013 «Состав и содержание научно-проектной документации по сохранению объектов культурного наследия. Памятники истории и культуры. Общие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требования»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55567-2013 «Порядок организации и ведения инженерно-технических исследований на объектах культурного наследия. Памятники истории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21.501-2011 «Правила выполнения рабочей документации архитектурных и конструктивных решений»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76.13330.201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««Электротехнические устройства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Актуализированная редакция СНиП 3.05.06-85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31937-2011 «Здания и сооружения. Правила обследования и мониторинга технического состояния»;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13-102-2003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обследования несущих строительных конструкций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21.1101-2013 «Система проектной документации для строительства. Основные требования к проектной и рабочей документации»;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ВСН 41-85(р) «Инструкция по разработке проектов организации и проектов производства работ по капитальному ремонту жилых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55969-2014 «Лифты. Ввод в эксплуатацию. Общие требования»;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ТР ТС 011/2011 «Безопасность лифтов»;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53782-2010 «Лифты. Правила и методы оценки соответствия лифтов при вводе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33652-2015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81-70:2003) «Лифты пассажирские. Технические требования доступности, включая доступность для инвалидов и других маломобильных групп населения».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составу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895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Проектно-сметная документация оформляется в соответствии с ГОСТ Р 21.1101-2013 «Система проектной документации для строительства (СПДС). Основные требования к проектной и рабочей документации (с Поправкой)</w:t>
            </w:r>
            <w:r>
              <w:rPr>
                <w:b w:val="0"/>
                <w:sz w:val="24"/>
                <w:szCs w:val="24"/>
              </w:rPr>
              <w:t xml:space="preserve">», а также иными действующими нормативными правовыми актами Российской Федерации.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Разделы и подразделы выполняются в соответствии с</w:t>
            </w:r>
            <w:r>
              <w:rPr>
                <w:b w:val="0"/>
                <w:sz w:val="24"/>
                <w:szCs w:val="24"/>
              </w:rPr>
              <w:t xml:space="preserve"> постановлением Правительства </w:t>
            </w:r>
            <w:r>
              <w:rPr>
                <w:b w:val="0"/>
                <w:bCs w:val="0"/>
                <w:sz w:val="24"/>
                <w:szCs w:val="24"/>
              </w:rPr>
              <w:t xml:space="preserve">Российской Федерации</w:t>
            </w:r>
            <w:r>
              <w:rPr>
                <w:b w:val="0"/>
                <w:sz w:val="24"/>
                <w:szCs w:val="24"/>
              </w:rPr>
              <w:t xml:space="preserve"> от 16</w:t>
            </w:r>
            <w:r>
              <w:rPr>
                <w:b w:val="0"/>
                <w:bCs w:val="0"/>
                <w:sz w:val="24"/>
                <w:szCs w:val="24"/>
              </w:rPr>
              <w:t xml:space="preserve"> февраля </w:t>
            </w:r>
            <w:r>
              <w:rPr>
                <w:b w:val="0"/>
                <w:sz w:val="24"/>
                <w:szCs w:val="24"/>
              </w:rPr>
              <w:t xml:space="preserve">2008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</w:t>
            </w:r>
            <w:r>
              <w:rPr>
                <w:b w:val="0"/>
                <w:bCs w:val="0"/>
                <w:sz w:val="24"/>
                <w:szCs w:val="24"/>
              </w:rPr>
              <w:t xml:space="preserve">ода </w:t>
            </w:r>
            <w:r>
              <w:rPr>
                <w:b w:val="0"/>
                <w:sz w:val="24"/>
                <w:szCs w:val="24"/>
              </w:rPr>
              <w:t xml:space="preserve">№ 87 «О составе разделов проектной документации</w:t>
            </w:r>
            <w:r>
              <w:rPr>
                <w:b w:val="0"/>
                <w:bCs w:val="0"/>
                <w:sz w:val="24"/>
                <w:szCs w:val="24"/>
              </w:rPr>
              <w:t xml:space="preserve"> и требованиях к их содержанию» в объеме, необходимом для выполнения работ по капитальному ремонту общего имущества многоквартирных домов.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содержанию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Локальный сметный расчет составляется в соответствии с требованиями следующих нормативных документов (включая, но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ограничиваясь):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МДС 81-35.2004 «Методика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стоимости строительной продукции на территории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Минстроя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от 09 февраля 2017 года № 81/пр;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документация составляется базисно-индексным методом с применением сборников ТЕР-2001 Забайкальского края (ред. 2014 г.).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необходимых расценок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исключительных случаях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перевода расценок из ФЕР-2001 (в редакции 2017 года)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ТЕР-2001 Забайкальского края (в редакции 2014 года) применять к элементам прямых затрат следующие поправочные коэффициенты: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материалам – 1,2;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стоимости эксплуатации машин – 1,11;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оплате труда – 0,9.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стоимости материалов в территориальных (федеральных) сборниках сметных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 рекомендуется применять текущие стоимости материалов на основании мониторинга (каталога «ЧитаСтройИнформ») или прайс-листов с переводом обратным счетом в соответствующий базисный уровень цен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индексами, применяемыми в смете на текущий период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Накладные расходы и сметную прибыль учитываются по нормам на виды работ в процентах от фонда оплаты труда в соответствии с МДС-81-33.2004 «Методические указания по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определению величины накладных расходов в строительстве» и МДС 81-25.2001 «Методические указания по определению </w:t>
            </w:r>
            <w:r>
              <w:rPr>
                <w:b w:val="0"/>
                <w:bCs w:val="0"/>
                <w:sz w:val="24"/>
                <w:szCs w:val="24"/>
              </w:rPr>
              <w:t xml:space="preserve">по определению величины сметной прибыли в строительстве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» с учетом писем Росстроя от 31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.01.2005 № ЮТ-260/06 «О порядке применения нормативов накладных расходов в строительстве», от 18.11.2004 № АП-5536/06, письма Госстроя РФ от 27.11.2012 № 2536-ИП/12/ГС, писем Минрегионразвития РФ от 21.02.2011 № 3757-КК/08, от 17.03.2011 № 6056-ИП/08 и др.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В состав сводного сметного расчета включаются прочие необходимые затраты в соответствии с МДС 81-35.2004 </w:t>
            </w:r>
            <w:r>
              <w:rPr>
                <w:b w:val="0"/>
                <w:sz w:val="24"/>
                <w:szCs w:val="24"/>
              </w:rPr>
              <w:t xml:space="preserve">«Методика определения стоимости строительной продукции на территории Российской Федерации».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расчете затрат на проведение строительного контроля следует руководствоваться постановлением Правительства Российской Федерации от 21.06.2010 № 468.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Резерв средств на неп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редвиденные работы и затраты предусматривается в сводном сметном расчете по нормам п. 4.96 МДС 81-35.2004 «Методика определения стоимости строительной продукции на территории Российской Федерации» (в редакции приказа Минрегиона России от 01.06.2012 № 220).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НДС учитывается в сметах и начисляется в актах за выполненные работы по итогу всей сметной стоимости.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стоимость работ по капитальному ремонту не должна превышать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оператором за счет средств фонда капитального ремонта, сформированного исходя из минимального размера взноса на капитальный ремонт (предельная стоимость услуг и (или) работ по капитальному ремонту общего имущества в многоквартирном доме, расположенном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Забайкальского края, установлена в соответствии с частью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статьи 190 Жилищного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нормативным правовым актом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оказания услуг и (или) выполнения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услуг и (или) выполнение работ должно осуществляться в соответствии с прилагаемым к договору о проведении капитального ремонта графиком оказания услуг и (или) выполнения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85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</w:p>
    <w:tbl>
      <w:tblPr>
        <w:tblStyle w:val="900"/>
        <w:tblW w:w="4888" w:type="pct"/>
        <w:tblInd w:w="108" w:type="dxa"/>
        <w:tblLook w:val="04A0" w:firstRow="1" w:lastRow="0" w:firstColumn="1" w:lastColumn="0" w:noHBand="0" w:noVBand="1"/>
      </w:tblPr>
      <w:tblGrid>
        <w:gridCol w:w="560"/>
        <w:gridCol w:w="2157"/>
        <w:gridCol w:w="6639"/>
      </w:tblGrid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оказание услуг и (или) 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выполнение работ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оценке технического состояния, разработке проектной документации на проведение капитального ремонта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многоквартирных домов,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объектами культурного наследия, выявленными объектами культурного наследия,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Забайкальского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замену, модернизаци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лифтов, ремонт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и (или) выполнение работ будет осуществляться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работ 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(или)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электронного аукцио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pStyle w:val="903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и (или)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4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являющихся объектами культурного наследия, выявленными объектами культурного наследия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которых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дальнейшем будет проводиться электронный аукцион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оценке технического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размещен на сайте органа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РКПО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17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саморегулируемых организациях в области архитектурно-строительного проектирования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лицензии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 о лицензировании отдельных видов деятельности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Федерации в соотв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линии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либо руководителя, членов коллег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пунктом 2 части 6 статьи 55.5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являющихся объектами капитального 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 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перевода на русский язык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Участника требованиям, установленным пунктом 23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предоставленная в форме электронного документа, подписанного усиленной ква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справки налогового органа об отсутствии задолженности по уплате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налогов, сборов и иных обязательных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платежей в бюджеты бюджетной системы Российской Федерации, полученная не ранее 1 января 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иложением копии документов, подтверждающих прием уполномоченным органом такого расчета в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подтверждающих наличие у Участника в штате минимального количества квалифицированного персонала (ш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контрактов и (или) договоров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 (приложение № 5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(рекомендуемая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подачи заявок 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ind w:left="852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наименование (для юридического лица), адрес электронной площадки в сети «Интернет», на которой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отбор, фамилия, имя, отчество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тацией о проведении предварительного отбора, состав членов комиссии, участвующих в рассмотрении Заявок, принятые решения. При принятии комиссией по проведению предварительного отбора решения об отказе во включении Участника в РКПО в протоколе указывается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такого решения со ссылками на нормы Положения, которым не соответствует Участник, на положения 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квалификационные требования к индивидуальным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имателям, а также руководителям юридического лица, самостоятельно организующим выполнение инженерных изысканий, подготовку проектной документации, - наличие высшего образования соответствующего профиля и стажа работы по специальности не менее чем пять лет;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требования к наличию у индивидуального предпринимателя или юридического лица специалистов по организации инженерных изысканий (главных и</w:t>
      </w:r>
      <w:r>
        <w:rPr>
          <w:rFonts w:ascii="Times New Roman" w:hAnsi="Times New Roman" w:cs="Times New Roman"/>
          <w:sz w:val="24"/>
          <w:szCs w:val="24"/>
        </w:rPr>
        <w:t xml:space="preserve">нженеров проектов), специалистов по организации архитектурно-строительного проектирования (главных инженеров проектов, главных архитекторов проектов), трудовая функция которых включает соответственно организацию выполнения работ по инженерным изысканиям, в</w:t>
      </w:r>
      <w:r>
        <w:rPr>
          <w:rFonts w:ascii="Times New Roman" w:hAnsi="Times New Roman" w:cs="Times New Roman"/>
          <w:sz w:val="24"/>
          <w:szCs w:val="24"/>
        </w:rPr>
        <w:t xml:space="preserve">ыполнения работ по подготовке проектной документации и сведения о которых включены в национальные реестры специалистов, предусмотренные статьей 55.5-1 Градостроительного кодекса Российской Федерации, - не менее чем два специалиста по месту основной работы.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инженерных изысканий, 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</w:t>
      </w:r>
      <w:r>
        <w:rPr>
          <w:rFonts w:ascii="Times New Roman" w:hAnsi="Times New Roman" w:cs="Times New Roman"/>
          <w:sz w:val="24"/>
          <w:szCs w:val="24"/>
        </w:rPr>
        <w:t xml:space="preserve">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в том числе в должности главного инженера проекта, главного архитектора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в том числе относятся соответственно: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заданий на выполнение работ по инженерным изысканиям, заданий на проектирование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представление, согласование и приемка результатов работ по выполнению инженерных изысканий, подготовке проектной документации;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результатов инженерных изысканий, проектной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физических лицах включаются в национальный реестр специалистов в области инженерных изысканий и архитектурно-</w:t>
      </w:r>
      <w:r>
        <w:rPr>
          <w:rFonts w:ascii="Times New Roman" w:hAnsi="Times New Roman" w:cs="Times New Roman"/>
          <w:iCs/>
          <w:sz w:val="24"/>
          <w:szCs w:val="24"/>
        </w:rPr>
        <w:t xml:space="preserve">строительного проектирования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</w:t>
      </w:r>
      <w:r>
        <w:rPr>
          <w:rFonts w:ascii="Times New Roman" w:hAnsi="Times New Roman" w:cs="Times New Roman"/>
          <w:iCs/>
          <w:sz w:val="24"/>
          <w:szCs w:val="24"/>
        </w:rPr>
        <w:t xml:space="preserve">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становленных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не реже одного раза в пять лет прохождение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iCs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4609"/>
        <w:gridCol w:w="4321"/>
      </w:tblGrid>
      <w:tr>
        <w:tblPrEx/>
        <w:trPr>
          <w:jc w:val="center"/>
          <w:trHeight w:val="525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подряда на подготовку проектной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 Участником как членом саморегулируемой организации, основанной на членстве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выполняющих инженерные изыскания, или саморегулируемой организации, основанной на членстве лиц, осуществляющих подготовку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25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50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(второй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300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(третий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300 миллионов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1371"/>
        <w:gridCol w:w="1842"/>
        <w:gridCol w:w="1415"/>
        <w:gridCol w:w="1558"/>
        <w:gridCol w:w="1132"/>
        <w:gridCol w:w="1740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 в Национальном реестре специалистов в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инженерных изысканий и архитектурно-строительного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НОПРИЗ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904"/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6</w:t>
      </w:r>
      <w:r>
        <w:rPr>
          <w:rFonts w:ascii="Times New Roman" w:hAnsi="Times New Roman" w:eastAsia="Calibri" w:cs="Times New Roman"/>
          <w:sz w:val="24"/>
          <w:szCs w:val="24"/>
        </w:rPr>
        <w:t xml:space="preserve">-ПО(4</w:t>
      </w:r>
      <w:r>
        <w:rPr>
          <w:rFonts w:ascii="Times New Roman" w:hAnsi="Times New Roman" w:eastAsia="Calibri" w:cs="Times New Roman"/>
          <w:sz w:val="24"/>
          <w:szCs w:val="24"/>
        </w:rPr>
        <w:t xml:space="preserve">).ОТСПК.20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70703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3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6"/>
  </w:num>
  <w:num w:numId="5">
    <w:abstractNumId w:val="7"/>
  </w:num>
  <w:num w:numId="6">
    <w:abstractNumId w:val="3"/>
  </w:num>
  <w:num w:numId="7">
    <w:abstractNumId w:val="12"/>
  </w:num>
  <w:num w:numId="8">
    <w:abstractNumId w:val="22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2"/>
  </w:num>
  <w:num w:numId="17">
    <w:abstractNumId w:val="0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6"/>
    <w:link w:val="895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4"/>
    <w:next w:val="894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6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4"/>
    <w:next w:val="894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6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4"/>
    <w:next w:val="894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6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4"/>
    <w:next w:val="894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6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4"/>
    <w:next w:val="89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6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4"/>
    <w:next w:val="894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4"/>
    <w:next w:val="894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6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4"/>
    <w:next w:val="894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6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4"/>
    <w:next w:val="89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4"/>
    <w:next w:val="89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4"/>
    <w:next w:val="894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4"/>
    <w:next w:val="894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12"/>
    <w:uiPriority w:val="99"/>
  </w:style>
  <w:style w:type="character" w:styleId="749">
    <w:name w:val="Footer Char"/>
    <w:basedOn w:val="896"/>
    <w:link w:val="914"/>
    <w:uiPriority w:val="99"/>
  </w:style>
  <w:style w:type="paragraph" w:styleId="750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14"/>
    <w:uiPriority w:val="99"/>
  </w:style>
  <w:style w:type="table" w:styleId="75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6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6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</w:style>
  <w:style w:type="paragraph" w:styleId="895">
    <w:name w:val="Heading 1"/>
    <w:basedOn w:val="894"/>
    <w:link w:val="91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table" w:styleId="899">
    <w:name w:val="Table Grid"/>
    <w:basedOn w:val="89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Сетка таблицы6"/>
    <w:basedOn w:val="897"/>
    <w:next w:val="89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 w:customStyle="1">
    <w:name w:val="Сетка таблицы1"/>
    <w:basedOn w:val="897"/>
    <w:next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2">
    <w:name w:val="Hyperlink"/>
    <w:basedOn w:val="896"/>
    <w:uiPriority w:val="99"/>
    <w:unhideWhenUsed/>
    <w:rPr>
      <w:color w:val="0563c1" w:themeColor="hyperlink"/>
      <w:u w:val="single"/>
    </w:rPr>
  </w:style>
  <w:style w:type="paragraph" w:styleId="903" w:customStyle="1">
    <w:name w:val="ConsPlusNormal"/>
    <w:link w:val="917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4">
    <w:name w:val="List Paragraph"/>
    <w:basedOn w:val="894"/>
    <w:uiPriority w:val="34"/>
    <w:qFormat/>
    <w:pPr>
      <w:contextualSpacing/>
      <w:ind w:left="720"/>
    </w:pPr>
  </w:style>
  <w:style w:type="character" w:styleId="905">
    <w:name w:val="FollowedHyperlink"/>
    <w:basedOn w:val="896"/>
    <w:uiPriority w:val="99"/>
    <w:semiHidden/>
    <w:unhideWhenUsed/>
    <w:rPr>
      <w:color w:val="800080"/>
      <w:u w:val="single"/>
    </w:rPr>
  </w:style>
  <w:style w:type="character" w:styleId="906" w:customStyle="1">
    <w:name w:val="Основной текст_"/>
    <w:basedOn w:val="896"/>
    <w:link w:val="907"/>
    <w:rPr>
      <w:rFonts w:ascii="Times New Roman" w:hAnsi="Times New Roman" w:eastAsia="Times New Roman" w:cs="Times New Roman"/>
      <w:shd w:val="clear" w:color="auto" w:fill="ffffff"/>
    </w:rPr>
  </w:style>
  <w:style w:type="paragraph" w:styleId="907" w:customStyle="1">
    <w:name w:val="Основной текст13"/>
    <w:basedOn w:val="894"/>
    <w:link w:val="906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08" w:customStyle="1">
    <w:name w:val="Основной текст (2)_"/>
    <w:basedOn w:val="896"/>
    <w:link w:val="909"/>
    <w:rPr>
      <w:rFonts w:ascii="Times New Roman" w:hAnsi="Times New Roman" w:eastAsia="Times New Roman" w:cs="Times New Roman"/>
      <w:shd w:val="clear" w:color="auto" w:fill="ffffff"/>
    </w:rPr>
  </w:style>
  <w:style w:type="paragraph" w:styleId="909" w:customStyle="1">
    <w:name w:val="Основной текст (2)"/>
    <w:basedOn w:val="894"/>
    <w:link w:val="908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1" w:customStyle="1">
    <w:name w:val="xl65"/>
    <w:basedOn w:val="894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12">
    <w:name w:val="Header"/>
    <w:basedOn w:val="894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896"/>
    <w:link w:val="912"/>
    <w:uiPriority w:val="99"/>
  </w:style>
  <w:style w:type="paragraph" w:styleId="914">
    <w:name w:val="Footer"/>
    <w:basedOn w:val="894"/>
    <w:link w:val="91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896"/>
    <w:link w:val="914"/>
    <w:uiPriority w:val="99"/>
    <w:semiHidden/>
  </w:style>
  <w:style w:type="character" w:styleId="916" w:customStyle="1">
    <w:name w:val="Заголовок 1 Знак"/>
    <w:basedOn w:val="896"/>
    <w:link w:val="89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17" w:customStyle="1">
    <w:name w:val="ConsPlusNormal Знак"/>
    <w:link w:val="903"/>
    <w:rPr>
      <w:rFonts w:ascii="Calibri" w:hAnsi="Calibri" w:eastAsia="Times New Roman" w:cs="Calibri"/>
      <w:szCs w:val="20"/>
      <w:lang w:eastAsia="ru-RU"/>
    </w:rPr>
  </w:style>
  <w:style w:type="character" w:styleId="918">
    <w:name w:val="Strong"/>
    <w:uiPriority w:val="22"/>
    <w:qFormat/>
    <w:rPr>
      <w:b/>
      <w:bCs/>
    </w:rPr>
  </w:style>
  <w:style w:type="paragraph" w:styleId="919">
    <w:name w:val="Balloon Text"/>
    <w:basedOn w:val="894"/>
    <w:link w:val="9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basedOn w:val="896"/>
    <w:link w:val="9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B069-BF1B-4E77-981D-EEF00B20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89</cp:revision>
  <dcterms:created xsi:type="dcterms:W3CDTF">2019-04-09T08:17:00Z</dcterms:created>
  <dcterms:modified xsi:type="dcterms:W3CDTF">2025-08-01T05:38:28Z</dcterms:modified>
</cp:coreProperties>
</file>