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18 о.д.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ПОДРЯДНЫ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  <w:lang w:val="en-US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-ПО(1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).КР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К-1.20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 и (или) выполнение работ по капитальному ремонту общего имущества многоквартирных домов,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Чита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выполнение работ по капитальному ремонту общего имущества многоквартирных домов,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ыявленными объектами культурного наследия, в случаях, предусмотренных пунктом 6 статьи 56.1 указанного Федерального закона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107"/>
        <w:gridCol w:w="4375"/>
      </w:tblGrid>
      <w:tr>
        <w:tblPrEx/>
        <w:trPr>
          <w:trHeight w:val="92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Оказание услуг и (или) 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ыполнение работ по капитальному ремонту общего имущества многоквартирных домов,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ыявленными объектами культурного наследия, в случаях, предусмотренных пунктом 6 статьи 56.1 указанного Федерального закона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2-ПО(1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).КРК-1.20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органе по ведению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цифровизации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связи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/>
            <w:hyperlink r:id="rId12" w:tooltip="http://zakupki.gov.ru/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http://zakupki.gov.ru/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85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3" w:tooltip="http://www.rts-tender.ru/" w:history="1">
              <w:r>
                <w:rPr>
                  <w:rStyle w:val="932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http://www.rts-tender.ru/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9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 февраля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 марта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срока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апреля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выполнение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соответствии с действующими на территории Российской Федерации нормативными документами: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ебования пожарной безопасности».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актов уточняется в документации об электронном аукционе.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оказываемых услуг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ыполнение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должно осуществляться в полном объеме, качественно и в строгом соответс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твии с нормами и требованиями ГОСТ, СП, СНиП, СанПин, ПУЭ, НПБ, нормативных документов в области охраны и безопасности производства работ, энерго-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наименования объекта, 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аименования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работы должны производиться в будние дни в период с 8.00 часов до 21.00 часа (по письменному согласованию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каждый четверг) предоставление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аказчику в электронном виде на электронную почту фотоотчета с письменными пояс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нениями о ходе выполнения работ, а также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обеспечение возможности круг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лосуточной связи представителя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30"/>
        <w:tblW w:w="4888" w:type="pct"/>
        <w:tblInd w:w="108" w:type="dxa"/>
        <w:tblLook w:val="04A0" w:firstRow="1" w:lastRow="0" w:firstColumn="1" w:lastColumn="0" w:noHBand="0" w:noVBand="1"/>
      </w:tblPr>
      <w:tblGrid>
        <w:gridCol w:w="568"/>
        <w:gridCol w:w="2098"/>
        <w:gridCol w:w="6690"/>
      </w:tblGrid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Условие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ой сети «Интернет» http://минэнерго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процентов в связи с пропорциональным увеличением объема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оказания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Par0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инженерно-технического обеспечения (РД-11-02-2006), 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экологическому, технологическому и атомному надзору от 26 декабря 2006 года № 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другими нормативными документами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строительства 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обязательств по договору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обязательств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pStyle w:val="941"/>
              <w:jc w:val="both"/>
              <w:widowControl w:val="off"/>
              <w:tabs>
                <w:tab w:val="left" w:pos="608" w:leader="none"/>
              </w:tabs>
            </w:pPr>
            <w:r>
              <w:t xml:space="preserve">Условия о гарантийном сроке определяются Заказчиком в документации об электронном аукционе.</w:t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и (или) проведения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виды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могут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оказания услуг и (или) выполнения 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а) систематическое (2 раза и более)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б) задержка подрядной организацией начала </w:t>
            </w:r>
            <w:r>
              <w:t xml:space="preserve">оказания услуг и (или) </w:t>
            </w:r>
            <w:r>
              <w:t xml:space="preserve">выполнения работ более чем на 5 календарных дней по </w:t>
            </w:r>
            <w:r>
              <w:t xml:space="preserve">причинам, не зависящим от Заказчика или собственников помещений в многоквартирном доме;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</w:t>
            </w:r>
            <w:r>
              <w:t xml:space="preserve">услуг и (или) </w:t>
            </w:r>
            <w:r>
              <w:t xml:space="preserve">работ и (или) технологии проведения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</w:t>
            </w:r>
            <w:r>
              <w:t xml:space="preserve">Федерации, лишающих права подрядной организации на производство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 продолжительностью более</w:t>
            </w:r>
            <w:r>
              <w:br/>
            </w:r>
            <w:r>
              <w:t xml:space="preserve">15 календарных дней по любому из многоквартирных домов;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ж) нарушение срока замены банковской гарантии, установленного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при отзыве лицензии, банкротстве или ликвидации банка-гаранта более чем на 2 рабочих дня;</w:t>
            </w:r>
            <w:r/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сроков оказания услуг 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по капитальному ремонту общего имущества в которых в дальнейшем будет проводиться электронный аукцион, размещен на сайте органа по ведению РКПО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энерго.з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абайкальскийкрай.рф/) в разделе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ое хозяйство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отсутствие у Участника задолженности по уплате нал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что и предмет предварительного отбора, расторгнутого по решению суда или расторгнутого по требованию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сторон такого контракта или договора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существенных 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условий такого контракта или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г)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д) 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е) отсутствие конфликта интересов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чаев, 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юридического лица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либо являются близкими родственниками (родственниками по прямой восходящей и нисходящей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ж) неприменение в отношении Участника – физического лица либо руководителя, членов коллеги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з) отсутствие сведений об Участнике в реестре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недобросовестных поставщиков (подрядчиков, исполнителей), 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и) 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к) 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л) наличие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штате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м) 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указанным исполненным контрактам и (или)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более 10 процентов предельного размера обязательств по договорам строительного подряда,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н) отсутствие в отношении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решения об исключении подрядной организации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установления одного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фактов, указанных в подпунктах «з» - «к»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Заявку на участие в предварительном отборе (далее – Заявка)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ованиям Федерального закона 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порядке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осуществление действий от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справк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предшествующий дате подачи Заявки,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органа о приеме или с приложением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 такого расчета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сотрудников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рекомендуется представить по форме, установленной в приложении 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 Документации о про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соответствии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пунктом 9 статьи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 27 июля 2006 года № 152-ФЗ «О персональных данных»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екомендуемая форма представлена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риложении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Порядок, дата начала срока подачи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и изменения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 изменения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подачи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аявок установлена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извещении о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(далее – извещение) и 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Документации о пров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 должен быть продлен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чтобы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на официальном сайте и сайте оператора электронной площадки изменений,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815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форме, установленной в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дварительного отбора,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 соответствие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30 Положения, ведет и оформляет необходимые протоколы по всем процедурам, проводимым в ходе осуществления предварительного отбора, рассматривает вопрос о включении (об отказе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участника предварительного отбора в реестр квалифицированных подрядных организаций и другие действия в соответствии с настоящим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firstLine="235"/>
              <w:jc w:val="both"/>
            </w:pPr>
            <w:r>
              <w:t xml:space="preserve">2. В период рассмотрения Заявок комиссия по проведению предварительного отбора: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осуществляет проверку Заявок на соответствие установленным требованиям;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проводит проверку Заявки</w:t>
            </w:r>
            <w:r>
              <w:t xml:space="preserve">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включение Участника в РКПО;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отказ во включении Участника в РКПО</w:t>
            </w:r>
            <w:r>
              <w:t xml:space="preserve"> в случаях, указанных в пункте 53 Положения</w:t>
            </w:r>
            <w:r>
              <w:t xml:space="preserve">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4. Решение об отказе во включении Участника в РКПО принимается в следующих случаях: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несоответствие Участника требованиям, установленным пунктом 23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Заявка не соответствует требованиям, установленным пунктом 38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6. Результаты рассмотрения Заявок и решение вопросов, указанных в </w:t>
            </w:r>
            <w:r>
              <w:t xml:space="preserve">под</w:t>
            </w:r>
            <w:r>
              <w:t xml:space="preserve">пунктах 2 и 3 настоящего </w:t>
            </w:r>
            <w:r>
              <w:t xml:space="preserve">пункта</w:t>
            </w:r>
            <w:r>
              <w:t xml:space="preserve">, оформляются протоколом комиссии по </w:t>
            </w:r>
            <w:r>
              <w:t xml:space="preserve">проведению предварительного отбора, который подписывается всеми членами комиссии, участвующими в заседании. Прот</w:t>
            </w:r>
            <w:r>
              <w:t xml:space="preserve">окол оформляется и размещается о</w:t>
            </w:r>
            <w:r>
              <w:t xml:space="preserve">рганом по ведению РКП</w:t>
            </w:r>
            <w:r>
              <w:t xml:space="preserve">О</w:t>
            </w:r>
            <w:r>
              <w:t xml:space="preserve"> на официальном сайте и сайте оператора электронной площадки в течение 2 рабочих дней со дня его подписания.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7. В протоколе указывается информация о месте, дате и времени рассмотрения </w:t>
            </w:r>
            <w:r>
              <w:t xml:space="preserve">З</w:t>
            </w:r>
            <w:r>
              <w:t xml:space="preserve">аявок, номер предварительного отбора, наименование (для юридического лица), </w:t>
            </w:r>
            <w:r>
              <w:t xml:space="preserve">адрес электронной площадки в сети </w:t>
            </w:r>
            <w:r>
              <w:t xml:space="preserve">«</w:t>
            </w:r>
            <w:r>
              <w:t xml:space="preserve">Интернет</w:t>
            </w:r>
            <w:r>
              <w:t xml:space="preserve">»</w:t>
            </w:r>
            <w:r>
              <w:t xml:space="preserve">, на которой проводится предварительный отбор</w:t>
            </w:r>
            <w:r>
              <w:t xml:space="preserve"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</w:t>
            </w:r>
            <w:r>
              <w:t xml:space="preserve">Участника</w:t>
            </w:r>
            <w:r>
              <w:t xml:space="preserve">, наличие информации</w:t>
            </w:r>
            <w:r>
              <w:t xml:space="preserve"> и документов, </w:t>
            </w:r>
            <w:r>
              <w:t xml:space="preserve">предусмотренных Д</w:t>
            </w:r>
            <w:r>
              <w:t xml:space="preserve">окументацией о проведении предварительного отбора, состав членов комисс</w:t>
            </w:r>
            <w:r>
              <w:t xml:space="preserve">ии, участвующих в рассмотрении З</w:t>
            </w:r>
            <w:r>
              <w:t xml:space="preserve">аявок, принятые решения. При принятии комиссией по</w:t>
            </w:r>
            <w:r>
              <w:t xml:space="preserve"> проведению предварительного отбора</w:t>
            </w:r>
            <w:r>
              <w:t xml:space="preserve"> </w:t>
            </w:r>
            <w:r>
              <w:t xml:space="preserve">решения об отказе во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обоснование такого решения со ссылками на нормы Положения, которым не соответствует </w:t>
            </w:r>
            <w:r>
              <w:t xml:space="preserve">У</w:t>
            </w:r>
            <w:r>
              <w:t xml:space="preserve">частник</w:t>
            </w:r>
            <w:r>
              <w:t xml:space="preserve">, на положения Д</w:t>
            </w:r>
            <w:r>
              <w:t xml:space="preserve">окументации о проведении предварительного от</w:t>
            </w:r>
            <w:r>
              <w:t xml:space="preserve">бора, которым не соответствует Заявка этого У</w:t>
            </w:r>
            <w:r>
              <w:t xml:space="preserve">частника, на документы, подтверждающие такое несоответствие.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8.</w:t>
            </w:r>
            <w:r>
              <w:t xml:space="preserve"> При принятии комиссией по проведению предварительн</w:t>
            </w:r>
            <w:r>
              <w:t xml:space="preserve">ого отбора решения 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</w:t>
            </w:r>
            <w:r>
              <w:t xml:space="preserve">предельный размер обязательств </w:t>
            </w:r>
            <w:r>
              <w:t xml:space="preserve">У</w:t>
            </w:r>
            <w:r>
              <w:t xml:space="preserve">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</w:t>
            </w:r>
            <w:r>
              <w:t xml:space="preserve">ник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t xml:space="preserve">.</w:t>
            </w:r>
            <w:r/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обязан осуществлять аудио- и (или) видеозаписи всех заседаний комиссии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проведению предварительного отбора. Любой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вшимся на основании отсутствия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аявок, орган по ведению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следующему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предмету электронного аукциона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ОКАЗАННЫХ УСЛУГ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29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№ п/п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Минимальный размер сто</w:t>
            </w:r>
            <w:r>
              <w:t xml:space="preserve">имост</w:t>
            </w:r>
            <w:r>
              <w:t xml:space="preserve">и</w:t>
            </w:r>
            <w:r>
              <w:t xml:space="preserve"> </w:t>
            </w:r>
            <w:r>
              <w:t xml:space="preserve">оказанных услуг </w:t>
            </w:r>
            <w:r>
              <w:t xml:space="preserve">и (или) </w:t>
            </w:r>
            <w:r>
              <w:t xml:space="preserve">выполненных </w:t>
            </w:r>
            <w:r>
              <w:t xml:space="preserve">р</w:t>
            </w:r>
            <w:r>
              <w:t xml:space="preserve">абот</w:t>
            </w:r>
            <w:r>
              <w:t xml:space="preserve"> по исполненным контрактам и (или) договорам</w:t>
            </w:r>
            <w:r>
              <w:t xml:space="preserve">*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rPr>
                <w:lang w:val="en-US"/>
              </w:rPr>
              <w:t xml:space="preserve">5</w:t>
            </w:r>
            <w:r>
              <w:rPr>
                <w:lang w:val="ru-RU"/>
              </w:rPr>
              <w:t xml:space="preserve">,55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2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500 миллионов рублей</w:t>
            </w:r>
            <w:r/>
          </w:p>
          <w:p>
            <w:pPr>
              <w:pStyle w:val="941"/>
            </w:pPr>
            <w:r>
              <w:t xml:space="preserve">(второй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3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3 миллиарда рублей</w:t>
            </w:r>
            <w:r/>
          </w:p>
          <w:p>
            <w:pPr>
              <w:pStyle w:val="941"/>
            </w:pPr>
            <w:r>
              <w:t xml:space="preserve">(третий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0,17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4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</w:pPr>
            <w:r>
              <w:t xml:space="preserve">0,05</w:t>
            </w:r>
            <w:r>
              <w:t xml:space="preserve"> </w:t>
            </w:r>
            <w:r>
              <w:t xml:space="preserve">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5.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41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</w:r>
      <w:r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как совокупная стоимость услуг и (или) работ по таким контрактам и (или) договорам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1398"/>
        <w:gridCol w:w="1843"/>
        <w:gridCol w:w="1136"/>
        <w:gridCol w:w="1647"/>
        <w:gridCol w:w="1326"/>
        <w:gridCol w:w="1740"/>
      </w:tblGrid>
      <w:tr>
        <w:tblPrEx/>
        <w:trPr/>
        <w:tc>
          <w:tcPr>
            <w:shd w:val="clear" w:color="auto" w:fill="auto"/>
            <w:tcW w:w="1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41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7" w:type="pct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Идентификационный номер в Национальном реестре специалистов в области строительства (НОСТРОЙ)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2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3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26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ДОГОВОРОВ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ПОДТВЕРЖДАЮЩИХ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НАЛИЧИЕ У УЧАСТНИКА ПРЕДВАРИТЕЛЬНОГО ОТБОРА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ОПЫТ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 ОКАЗАНИЯ УСЛУГ И (ИЛИ) ВЫПОЛНЕНИЯ РАБОТ, АНАЛОГИЧНЫХ ПРЕДМЕТУ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29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разъяснения следующих положений Документации о проведении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предварительного отбора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2-ПО(1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).КРК-1.20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2026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133233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7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hanging="387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hanging="24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6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  <w:rPr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-"/>
      <w:lvlJc w:val="left"/>
      <w:pPr>
        <w:ind w:hanging="183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3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44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2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hanging="361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6"/>
  </w:num>
  <w:num w:numId="3">
    <w:abstractNumId w:val="15"/>
  </w:num>
  <w:num w:numId="4">
    <w:abstractNumId w:val="31"/>
  </w:num>
  <w:num w:numId="5">
    <w:abstractNumId w:val="14"/>
  </w:num>
  <w:num w:numId="6">
    <w:abstractNumId w:val="5"/>
  </w:num>
  <w:num w:numId="7">
    <w:abstractNumId w:val="24"/>
  </w:num>
  <w:num w:numId="8">
    <w:abstractNumId w:val="38"/>
  </w:num>
  <w:num w:numId="9">
    <w:abstractNumId w:val="20"/>
  </w:num>
  <w:num w:numId="10">
    <w:abstractNumId w:val="28"/>
  </w:num>
  <w:num w:numId="11">
    <w:abstractNumId w:val="30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3"/>
  </w:num>
  <w:num w:numId="21">
    <w:abstractNumId w:val="32"/>
  </w:num>
  <w:num w:numId="22">
    <w:abstractNumId w:val="27"/>
  </w:num>
  <w:num w:numId="23">
    <w:abstractNumId w:val="39"/>
  </w:num>
  <w:num w:numId="24">
    <w:abstractNumId w:val="1"/>
  </w:num>
  <w:num w:numId="25">
    <w:abstractNumId w:val="4"/>
  </w:num>
  <w:num w:numId="26">
    <w:abstractNumId w:val="33"/>
  </w:num>
  <w:num w:numId="27">
    <w:abstractNumId w:val="12"/>
  </w:num>
  <w:num w:numId="28">
    <w:abstractNumId w:val="16"/>
  </w:num>
  <w:num w:numId="29">
    <w:abstractNumId w:val="23"/>
  </w:num>
  <w:num w:numId="30">
    <w:abstractNumId w:val="22"/>
  </w:num>
  <w:num w:numId="31">
    <w:abstractNumId w:val="7"/>
  </w:num>
  <w:num w:numId="32">
    <w:abstractNumId w:val="3"/>
  </w:num>
  <w:num w:numId="33">
    <w:abstractNumId w:val="34"/>
  </w:num>
  <w:num w:numId="34">
    <w:abstractNumId w:val="17"/>
  </w:num>
  <w:num w:numId="35">
    <w:abstractNumId w:val="9"/>
  </w:num>
  <w:num w:numId="36">
    <w:abstractNumId w:val="37"/>
  </w:num>
  <w:num w:numId="37">
    <w:abstractNumId w:val="8"/>
  </w:num>
  <w:num w:numId="38">
    <w:abstractNumId w:val="0"/>
  </w:num>
  <w:num w:numId="39">
    <w:abstractNumId w:val="11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26"/>
    <w:link w:val="924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26"/>
    <w:link w:val="925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6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3"/>
    <w:next w:val="92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6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3"/>
    <w:next w:val="92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6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3"/>
    <w:next w:val="92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6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3"/>
    <w:next w:val="92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6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3"/>
    <w:next w:val="92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6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3"/>
    <w:next w:val="92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6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923"/>
    <w:next w:val="923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6"/>
    <w:link w:val="773"/>
    <w:uiPriority w:val="10"/>
    <w:rPr>
      <w:sz w:val="48"/>
      <w:szCs w:val="48"/>
    </w:rPr>
  </w:style>
  <w:style w:type="paragraph" w:styleId="775">
    <w:name w:val="Subtitle"/>
    <w:basedOn w:val="923"/>
    <w:next w:val="923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6"/>
    <w:link w:val="775"/>
    <w:uiPriority w:val="11"/>
    <w:rPr>
      <w:sz w:val="24"/>
      <w:szCs w:val="24"/>
    </w:rPr>
  </w:style>
  <w:style w:type="paragraph" w:styleId="777">
    <w:name w:val="Quote"/>
    <w:basedOn w:val="923"/>
    <w:next w:val="923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3"/>
    <w:next w:val="923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6"/>
    <w:link w:val="936"/>
    <w:uiPriority w:val="99"/>
  </w:style>
  <w:style w:type="character" w:styleId="782">
    <w:name w:val="Footer Char"/>
    <w:basedOn w:val="926"/>
    <w:link w:val="938"/>
    <w:uiPriority w:val="99"/>
  </w:style>
  <w:style w:type="paragraph" w:styleId="783">
    <w:name w:val="Caption"/>
    <w:basedOn w:val="923"/>
    <w:next w:val="923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938"/>
    <w:uiPriority w:val="99"/>
  </w:style>
  <w:style w:type="table" w:styleId="785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4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8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Footnote Text Char"/>
    <w:link w:val="970"/>
    <w:uiPriority w:val="99"/>
    <w:rPr>
      <w:sz w:val="18"/>
    </w:rPr>
  </w:style>
  <w:style w:type="character" w:styleId="911">
    <w:name w:val="Endnote Text Char"/>
    <w:link w:val="975"/>
    <w:uiPriority w:val="99"/>
    <w:rPr>
      <w:sz w:val="20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link w:val="942"/>
    <w:uiPriority w:val="1"/>
    <w:qFormat/>
    <w:pPr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925">
    <w:name w:val="Heading 2"/>
    <w:basedOn w:val="923"/>
    <w:next w:val="923"/>
    <w:link w:val="943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table" w:styleId="929">
    <w:name w:val="Table Grid"/>
    <w:basedOn w:val="92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Сетка таблицы6"/>
    <w:basedOn w:val="927"/>
    <w:next w:val="92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Сетка таблицы1"/>
    <w:basedOn w:val="927"/>
    <w:next w:val="9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2">
    <w:name w:val="Hyperlink"/>
    <w:basedOn w:val="926"/>
    <w:uiPriority w:val="99"/>
    <w:unhideWhenUsed/>
    <w:rPr>
      <w:color w:val="0563c1" w:themeColor="hyperlink"/>
      <w:u w:val="single"/>
    </w:rPr>
  </w:style>
  <w:style w:type="character" w:styleId="933">
    <w:name w:val="FollowedHyperlink"/>
    <w:basedOn w:val="926"/>
    <w:uiPriority w:val="99"/>
    <w:semiHidden/>
    <w:unhideWhenUsed/>
    <w:rPr>
      <w:color w:val="800080"/>
      <w:u w:val="single"/>
    </w:rPr>
  </w:style>
  <w:style w:type="paragraph" w:styleId="934" w:customStyle="1">
    <w:name w:val="xl65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5" w:customStyle="1">
    <w:name w:val="xl66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6">
    <w:name w:val="Header"/>
    <w:basedOn w:val="923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6"/>
    <w:link w:val="936"/>
    <w:uiPriority w:val="99"/>
  </w:style>
  <w:style w:type="paragraph" w:styleId="938">
    <w:name w:val="Footer"/>
    <w:basedOn w:val="923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6"/>
    <w:link w:val="938"/>
    <w:uiPriority w:val="99"/>
  </w:style>
  <w:style w:type="paragraph" w:styleId="940">
    <w:name w:val="List Paragraph"/>
    <w:basedOn w:val="923"/>
    <w:uiPriority w:val="34"/>
    <w:qFormat/>
    <w:pPr>
      <w:contextualSpacing/>
      <w:ind w:left="720"/>
    </w:pPr>
  </w:style>
  <w:style w:type="paragraph" w:styleId="941" w:customStyle="1">
    <w:name w:val="ConsPlusNormal"/>
    <w:link w:val="981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42" w:customStyle="1">
    <w:name w:val="Заголовок 1 Знак"/>
    <w:basedOn w:val="926"/>
    <w:link w:val="924"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43" w:customStyle="1">
    <w:name w:val="Заголовок 2 Знак"/>
    <w:basedOn w:val="926"/>
    <w:link w:val="92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4" w:customStyle="1">
    <w:name w:val="Основной текст_"/>
    <w:basedOn w:val="926"/>
    <w:link w:val="945"/>
    <w:rPr>
      <w:rFonts w:ascii="Times New Roman" w:hAnsi="Times New Roman" w:eastAsia="Times New Roman" w:cs="Times New Roman"/>
      <w:shd w:val="clear" w:color="auto" w:fill="ffffff"/>
    </w:rPr>
  </w:style>
  <w:style w:type="paragraph" w:styleId="945" w:customStyle="1">
    <w:name w:val="Основной текст13"/>
    <w:basedOn w:val="923"/>
    <w:link w:val="944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46" w:customStyle="1">
    <w:name w:val="Заголовок №4_"/>
    <w:basedOn w:val="926"/>
    <w:link w:val="948"/>
    <w:rPr>
      <w:rFonts w:ascii="Times New Roman" w:hAnsi="Times New Roman" w:eastAsia="Times New Roman" w:cs="Times New Roman"/>
      <w:shd w:val="clear" w:color="auto" w:fill="ffffff"/>
    </w:rPr>
  </w:style>
  <w:style w:type="character" w:styleId="947" w:customStyle="1">
    <w:name w:val="Основной текст + 8 pt;Полужирный"/>
    <w:basedOn w:val="944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styleId="948" w:customStyle="1">
    <w:name w:val="Заголовок №4"/>
    <w:basedOn w:val="923"/>
    <w:link w:val="946"/>
    <w:pPr>
      <w:jc w:val="both"/>
      <w:spacing w:after="0" w:line="274" w:lineRule="exact"/>
      <w:shd w:val="clear" w:color="auto" w:fill="ffffff"/>
      <w:outlineLvl w:val="3"/>
    </w:pPr>
    <w:rPr>
      <w:rFonts w:ascii="Times New Roman" w:hAnsi="Times New Roman" w:eastAsia="Times New Roman" w:cs="Times New Roman"/>
    </w:rPr>
  </w:style>
  <w:style w:type="character" w:styleId="949" w:customStyle="1">
    <w:name w:val="Основной текст4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950" w:customStyle="1">
    <w:name w:val="Основной текст (2)_"/>
    <w:basedOn w:val="926"/>
    <w:link w:val="956"/>
    <w:rPr>
      <w:rFonts w:ascii="Times New Roman" w:hAnsi="Times New Roman" w:eastAsia="Times New Roman" w:cs="Times New Roman"/>
      <w:shd w:val="clear" w:color="auto" w:fill="ffffff"/>
    </w:rPr>
  </w:style>
  <w:style w:type="character" w:styleId="951" w:customStyle="1">
    <w:name w:val="Заголовок №2_"/>
    <w:basedOn w:val="926"/>
    <w:link w:val="957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952" w:customStyle="1">
    <w:name w:val="Основной текст (5)_"/>
    <w:basedOn w:val="926"/>
    <w:link w:val="95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953" w:customStyle="1">
    <w:name w:val="Основной текст (5) + 11 pt;Не курсив"/>
    <w:basedOn w:val="952"/>
    <w:rPr>
      <w:rFonts w:ascii="Times New Roman" w:hAnsi="Times New Roman" w:eastAsia="Times New Roman" w:cs="Times New Roman"/>
      <w:i/>
      <w:iCs/>
      <w:spacing w:val="0"/>
      <w:sz w:val="22"/>
      <w:szCs w:val="22"/>
      <w:shd w:val="clear" w:color="auto" w:fill="ffffff"/>
    </w:rPr>
  </w:style>
  <w:style w:type="character" w:styleId="954" w:customStyle="1">
    <w:name w:val="Основной текст10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styleId="955" w:customStyle="1">
    <w:name w:val="Основной текст11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paragraph" w:styleId="956" w:customStyle="1">
    <w:name w:val="Основной текст (2)"/>
    <w:basedOn w:val="923"/>
    <w:link w:val="95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57" w:customStyle="1">
    <w:name w:val="Заголовок №2"/>
    <w:basedOn w:val="923"/>
    <w:link w:val="951"/>
    <w:pPr>
      <w:ind w:hanging="380"/>
      <w:spacing w:after="36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sz w:val="27"/>
      <w:szCs w:val="27"/>
    </w:rPr>
  </w:style>
  <w:style w:type="paragraph" w:styleId="958" w:customStyle="1">
    <w:name w:val="Основной текст (5)"/>
    <w:basedOn w:val="923"/>
    <w:link w:val="952"/>
    <w:pPr>
      <w:jc w:val="both"/>
      <w:spacing w:before="480" w:after="0" w:line="269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59" w:customStyle="1">
    <w:name w:val="Сноска_"/>
    <w:basedOn w:val="926"/>
    <w:link w:val="960"/>
    <w:rPr>
      <w:rFonts w:ascii="Times New Roman" w:hAnsi="Times New Roman" w:eastAsia="Times New Roman" w:cs="Times New Roman"/>
      <w:shd w:val="clear" w:color="auto" w:fill="ffffff"/>
    </w:rPr>
  </w:style>
  <w:style w:type="paragraph" w:styleId="960" w:customStyle="1">
    <w:name w:val="Сноска"/>
    <w:basedOn w:val="923"/>
    <w:link w:val="959"/>
    <w:pPr>
      <w:spacing w:after="0" w:line="250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61" w:customStyle="1">
    <w:name w:val="s_1"/>
    <w:basedOn w:val="9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Body Text"/>
    <w:basedOn w:val="923"/>
    <w:link w:val="963"/>
    <w:uiPriority w:val="1"/>
    <w:qFormat/>
    <w:pPr>
      <w:ind w:left="118" w:firstLine="708"/>
      <w:spacing w:before="1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63" w:customStyle="1">
    <w:name w:val="Основной текст Знак"/>
    <w:basedOn w:val="926"/>
    <w:link w:val="962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6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65" w:customStyle="1">
    <w:name w:val="hps"/>
    <w:basedOn w:val="926"/>
  </w:style>
  <w:style w:type="character" w:styleId="966" w:customStyle="1">
    <w:name w:val="hps atn"/>
    <w:basedOn w:val="926"/>
  </w:style>
  <w:style w:type="character" w:styleId="967" w:customStyle="1">
    <w:name w:val="Цветовое выделение для Нормальный"/>
    <w:uiPriority w:val="99"/>
    <w:rPr>
      <w:sz w:val="20"/>
      <w:szCs w:val="20"/>
    </w:rPr>
  </w:style>
  <w:style w:type="table" w:styleId="968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9" w:customStyle="1">
    <w:name w:val="Table Paragraph"/>
    <w:basedOn w:val="923"/>
    <w:uiPriority w:val="1"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</w:style>
  <w:style w:type="paragraph" w:styleId="970">
    <w:name w:val="footnote text"/>
    <w:basedOn w:val="923"/>
    <w:link w:val="971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1" w:customStyle="1">
    <w:name w:val="Текст сноски Знак"/>
    <w:basedOn w:val="926"/>
    <w:link w:val="97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2">
    <w:name w:val="footnote reference"/>
    <w:unhideWhenUsed/>
    <w:qFormat/>
    <w:rPr>
      <w:vertAlign w:val="superscript"/>
    </w:rPr>
  </w:style>
  <w:style w:type="paragraph" w:styleId="973">
    <w:name w:val="Balloon Text"/>
    <w:basedOn w:val="923"/>
    <w:link w:val="974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974" w:customStyle="1">
    <w:name w:val="Текст выноски Знак"/>
    <w:basedOn w:val="926"/>
    <w:link w:val="973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975">
    <w:name w:val="endnote text"/>
    <w:basedOn w:val="923"/>
    <w:link w:val="97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6" w:customStyle="1">
    <w:name w:val="Текст концевой сноски Знак"/>
    <w:basedOn w:val="926"/>
    <w:link w:val="975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7">
    <w:name w:val="endnote reference"/>
    <w:uiPriority w:val="99"/>
    <w:semiHidden/>
    <w:unhideWhenUsed/>
    <w:rPr>
      <w:vertAlign w:val="superscript"/>
    </w:rPr>
  </w:style>
  <w:style w:type="paragraph" w:styleId="978" w:customStyle="1">
    <w:name w:val="Standard"/>
    <w:qFormat/>
    <w:pPr>
      <w:spacing w:line="252" w:lineRule="auto"/>
    </w:pPr>
    <w:rPr>
      <w:rFonts w:ascii="Calibri" w:hAnsi="Calibri" w:eastAsia="Calibri" w:cs="Tahoma"/>
      <w:color w:val="00000a"/>
    </w:rPr>
  </w:style>
  <w:style w:type="paragraph" w:styleId="97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80">
    <w:name w:val="Strong"/>
    <w:uiPriority w:val="22"/>
    <w:qFormat/>
    <w:rPr>
      <w:b/>
      <w:bCs/>
    </w:rPr>
  </w:style>
  <w:style w:type="character" w:styleId="981" w:customStyle="1">
    <w:name w:val="ConsPlusNormal Знак"/>
    <w:link w:val="941"/>
    <w:rPr>
      <w:rFonts w:ascii="Times New Roman" w:hAnsi="Times New Roman" w:cs="Times New Roman"/>
      <w:sz w:val="24"/>
      <w:szCs w:val="24"/>
    </w:rPr>
  </w:style>
  <w:style w:type="character" w:styleId="982" w:customStyle="1">
    <w:name w:val="blk"/>
    <w:basedOn w:val="926"/>
  </w:style>
  <w:style w:type="character" w:styleId="983" w:customStyle="1">
    <w:name w:val="iceouttxt6"/>
    <w:basedOn w:val="926"/>
    <w:rPr>
      <w:rFonts w:hint="default" w:ascii="Arial" w:hAnsi="Arial" w:cs="Arial"/>
      <w:color w:val="666666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3268-CFB3-4F85-AD7F-E8A79983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pc004</dc:creator>
  <cp:lastModifiedBy>keo</cp:lastModifiedBy>
  <cp:revision>136</cp:revision>
  <dcterms:created xsi:type="dcterms:W3CDTF">2019-04-09T02:18:00Z</dcterms:created>
  <dcterms:modified xsi:type="dcterms:W3CDTF">2026-02-25T00:31:26Z</dcterms:modified>
</cp:coreProperties>
</file>