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387"/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УТВЕРЖДЕНА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387"/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5387"/>
        <w:jc w:val="center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 xml:space="preserve">п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риказом 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Министерства 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жилищно-коммунального хозяйства, энергетики, цифровизации и связи 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 Забайкальского 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края</w:t>
      </w:r>
      <w:r>
        <w:rPr>
          <w:rFonts w:ascii="Times New Roman" w:hAnsi="Times New Roman" w:cs="Times New Roman"/>
          <w:color w:val="00000a"/>
          <w:sz w:val="24"/>
          <w:szCs w:val="24"/>
        </w:rPr>
      </w:r>
      <w:r>
        <w:rPr>
          <w:rFonts w:ascii="Times New Roman" w:hAnsi="Times New Roman" w:cs="Times New Roman"/>
          <w:color w:val="00000a"/>
          <w:sz w:val="24"/>
          <w:szCs w:val="24"/>
        </w:rPr>
      </w:r>
    </w:p>
    <w:p>
      <w:pPr>
        <w:ind w:left="5387"/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«</w:t>
      </w:r>
      <w:r>
        <w:rPr>
          <w:rFonts w:ascii="Times New Roman" w:hAnsi="Times New Roman" w:cs="Times New Roman"/>
          <w:sz w:val="24"/>
          <w:szCs w:val="24"/>
        </w:rPr>
        <w:t xml:space="preserve">04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мая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2026 г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№ 38 о.д.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670"/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ДОКУМЕНТАЦИЯ 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О ПРОВЕДЕНИИ ПРЕДВАРИТЕЛЬНОГО ОТБОРА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ПОДРЯДНЫ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Х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ОРГАНИЗАЦИЙ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№</w:t>
      </w:r>
      <w:r>
        <w:rPr>
          <w:rFonts w:ascii="Times New Roman" w:hAnsi="Times New Roman" w:eastAsia="Calibri" w:cs="Times New Roman"/>
          <w:b/>
          <w:sz w:val="24"/>
          <w:szCs w:val="24"/>
          <w:highlight w:val="yellow"/>
        </w:rPr>
        <w:t xml:space="preserve"> </w:t>
      </w:r>
      <w:r>
        <w:rPr>
          <w:rFonts w:ascii="Times New Roman" w:hAnsi="Times New Roman" w:eastAsia="Calibri" w:cs="Times New Roman"/>
          <w:b/>
          <w:sz w:val="24"/>
          <w:szCs w:val="24"/>
          <w:highlight w:val="white"/>
          <w:lang w:val="en-US"/>
        </w:rPr>
        <w:t xml:space="preserve">2</w:t>
      </w:r>
      <w:r>
        <w:rPr>
          <w:rFonts w:ascii="Times New Roman" w:hAnsi="Times New Roman" w:eastAsia="Calibri" w:cs="Times New Roman"/>
          <w:b/>
          <w:sz w:val="24"/>
          <w:szCs w:val="24"/>
          <w:highlight w:val="white"/>
        </w:rPr>
        <w:t xml:space="preserve">-ПО(2</w:t>
      </w:r>
      <w:r>
        <w:rPr>
          <w:rFonts w:ascii="Times New Roman" w:hAnsi="Times New Roman" w:eastAsia="Calibri" w:cs="Times New Roman"/>
          <w:b/>
          <w:sz w:val="24"/>
          <w:szCs w:val="24"/>
          <w:highlight w:val="white"/>
        </w:rPr>
        <w:t xml:space="preserve">).КР</w:t>
      </w:r>
      <w:r>
        <w:rPr>
          <w:rFonts w:ascii="Times New Roman" w:hAnsi="Times New Roman" w:eastAsia="Calibri" w:cs="Times New Roman"/>
          <w:b/>
          <w:sz w:val="24"/>
          <w:szCs w:val="24"/>
          <w:highlight w:val="white"/>
        </w:rPr>
        <w:t xml:space="preserve">К-1.20</w:t>
      </w:r>
      <w:r>
        <w:rPr>
          <w:rFonts w:ascii="Times New Roman" w:hAnsi="Times New Roman" w:eastAsia="Calibri" w:cs="Times New Roman"/>
          <w:b/>
          <w:sz w:val="24"/>
          <w:szCs w:val="24"/>
          <w:highlight w:val="white"/>
        </w:rPr>
        <w:t xml:space="preserve">2</w:t>
      </w:r>
      <w:r>
        <w:rPr>
          <w:rFonts w:ascii="Times New Roman" w:hAnsi="Times New Roman" w:eastAsia="Calibri" w:cs="Times New Roman"/>
          <w:b/>
          <w:sz w:val="24"/>
          <w:szCs w:val="24"/>
          <w:highlight w:val="white"/>
        </w:rPr>
        <w:t xml:space="preserve">6</w:t>
      </w:r>
      <w:r>
        <w:rPr>
          <w:rFonts w:ascii="Times New Roman" w:hAnsi="Times New Roman" w:eastAsia="Calibri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Calibri" w:cs="Times New Roman"/>
          <w:b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для включения в реестр квалифицированных подрядных организаций, имеющих право принимать участие в электронных аукционах, предметом которых является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оказание услуг и (или) выполнение работ по капитальному ремонту общего имущества многоквартирных домов,</w:t>
      </w:r>
      <w:r>
        <w:rPr>
          <w:rFonts w:ascii="Times New Roman" w:hAnsi="Times New Roman" w:eastAsia="Calibri" w:cs="Times New Roman"/>
          <w:b/>
          <w:sz w:val="24"/>
          <w:szCs w:val="24"/>
          <w:highlight w:val="white"/>
        </w:rPr>
        <w:t xml:space="preserve"> являющихся объектами культурного наследия, в случаях, предусмотренных пунктом 5 статьи 56.1 Федерального закона «Об объектах культурного наследия (памятн</w:t>
      </w:r>
      <w:r>
        <w:rPr>
          <w:rFonts w:ascii="Times New Roman" w:hAnsi="Times New Roman" w:eastAsia="Calibri" w:cs="Times New Roman"/>
          <w:b/>
          <w:sz w:val="24"/>
          <w:szCs w:val="24"/>
          <w:highlight w:val="white"/>
        </w:rPr>
        <w:t xml:space="preserve">иках истории и культуры) народов Российской Федерации», являющихся объектами культурного наследия либо выявленными объектами культурного наследия, в случаях, предусмотренных пунктом 6 статьи 56.1 указанного Федерального закона</w:t>
      </w:r>
      <w:r>
        <w:rPr>
          <w:rFonts w:ascii="Times New Roman" w:hAnsi="Times New Roman" w:eastAsia="Calibri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Calibri" w:cs="Times New Roman"/>
          <w:b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eastAsia="Calibri" w:cs="Times New Roman"/>
          <w:b/>
          <w:bCs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eastAsia="Calibri" w:cs="Times New Roman"/>
          <w:b/>
          <w:bCs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eastAsia="Calibri" w:cs="Times New Roman"/>
          <w:b/>
          <w:bCs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eastAsia="Calibri" w:cs="Times New Roman"/>
          <w:b/>
          <w:bCs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eastAsia="Calibri" w:cs="Times New Roman"/>
          <w:b/>
          <w:bCs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eastAsia="Calibri" w:cs="Times New Roman"/>
          <w:b/>
          <w:bCs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bCs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b/>
          <w:bCs/>
          <w:sz w:val="24"/>
          <w:szCs w:val="24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г.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Чита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, 20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2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6</w:t>
      </w:r>
      <w:r>
        <w:rPr>
          <w:rFonts w:ascii="Times New Roman" w:hAnsi="Times New Roman" w:eastAsia="Calibri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b/>
          <w:bCs/>
          <w:sz w:val="24"/>
          <w:szCs w:val="24"/>
          <w:highlight w:val="none"/>
        </w:rPr>
      </w:r>
    </w:p>
    <w:p>
      <w:pPr>
        <w:numPr>
          <w:ilvl w:val="0"/>
          <w:numId w:val="6"/>
        </w:numPr>
        <w:ind w:left="0" w:firstLine="709"/>
        <w:jc w:val="center"/>
        <w:spacing w:after="0" w:line="240" w:lineRule="auto"/>
        <w:tabs>
          <w:tab w:val="left" w:pos="993" w:leader="none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Общие положения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284" w:leader="none"/>
          <w:tab w:val="left" w:pos="993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284" w:leader="none"/>
          <w:tab w:val="left" w:pos="993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Настоящая д</w:t>
      </w:r>
      <w:r>
        <w:rPr>
          <w:rFonts w:ascii="Times New Roman" w:hAnsi="Times New Roman" w:eastAsia="Calibri" w:cs="Times New Roman"/>
          <w:sz w:val="24"/>
          <w:szCs w:val="24"/>
        </w:rPr>
        <w:t xml:space="preserve">окументация о проведении предварительного отбора подрядных организаций утверждена в целях проведения предварительного отбора подрядных организаций для включения в реестр квалифицированных подрядных организаций, имеющих право принимать участие в электронных</w:t>
      </w:r>
      <w:r>
        <w:rPr>
          <w:rFonts w:ascii="Times New Roman" w:hAnsi="Times New Roman" w:eastAsia="Calibri" w:cs="Times New Roman"/>
          <w:sz w:val="24"/>
          <w:szCs w:val="24"/>
        </w:rPr>
        <w:t xml:space="preserve"> аукционах, предметом которых </w:t>
      </w:r>
      <w:r>
        <w:rPr>
          <w:rFonts w:ascii="Times New Roman" w:hAnsi="Times New Roman" w:eastAsia="Calibri" w:cs="Times New Roman"/>
          <w:sz w:val="24"/>
          <w:szCs w:val="24"/>
        </w:rPr>
        <w:t xml:space="preserve">является </w:t>
      </w:r>
      <w:r>
        <w:rPr>
          <w:rFonts w:ascii="Times New Roman" w:hAnsi="Times New Roman" w:eastAsia="Calibri" w:cs="Times New Roman"/>
          <w:sz w:val="24"/>
          <w:szCs w:val="24"/>
        </w:rPr>
        <w:t xml:space="preserve">оказание услуг и (или) </w:t>
      </w:r>
      <w:r>
        <w:rPr>
          <w:rFonts w:ascii="Times New Roman" w:hAnsi="Times New Roman" w:eastAsia="Calibri" w:cs="Times New Roman"/>
          <w:sz w:val="24"/>
          <w:szCs w:val="24"/>
        </w:rPr>
        <w:t xml:space="preserve">выполнение работ по капитальному ремонту общего имущества многоквартирных домов,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я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вляющихся объектами культурного наследия, в случаях, предусмотренных пунктом 5 статьи 56.1 Федерального закона «Об объектах культурного наследия (памятниках истории и культуры) народов Российской Федерации», являющихся объектами культурного наследия либо в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ыявленными объектами культурного наследия, в случаях, предусмотренных пунктом 6 статьи 56.1 указанного Федерального закона</w:t>
      </w:r>
      <w:r>
        <w:rPr>
          <w:rFonts w:ascii="Times New Roman" w:hAnsi="Times New Roman" w:eastAsia="Calibri" w:cs="Times New Roman"/>
          <w:sz w:val="24"/>
          <w:szCs w:val="24"/>
        </w:rPr>
        <w:t xml:space="preserve"> (далее – Документация о проведении предварительного отбора, предварительный отбор</w:t>
      </w:r>
      <w:r>
        <w:rPr>
          <w:rFonts w:ascii="Times New Roman" w:hAnsi="Times New Roman" w:eastAsia="Calibri" w:cs="Times New Roman"/>
          <w:sz w:val="24"/>
          <w:szCs w:val="24"/>
        </w:rPr>
        <w:t xml:space="preserve">, электронный аукцион</w:t>
      </w:r>
      <w:r>
        <w:rPr>
          <w:rFonts w:ascii="Times New Roman" w:hAnsi="Times New Roman" w:eastAsia="Calibri" w:cs="Times New Roman"/>
          <w:sz w:val="24"/>
          <w:szCs w:val="24"/>
        </w:rPr>
        <w:t xml:space="preserve">).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284" w:leader="none"/>
          <w:tab w:val="left" w:pos="993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Исполнительным органом государственной власти Забайкальского края, уполномоченным на ведение реестра квалифицированных подрядных организаций (далее –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РКПО,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орган по ведению РКПО)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является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Министерство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жилищно-коммунального хозяйства, энергетики, цифровизации и связи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Забайкальского края</w:t>
      </w:r>
      <w:r>
        <w:rPr>
          <w:rFonts w:ascii="Times New Roman" w:hAnsi="Times New Roman" w:eastAsia="Calibri" w:cs="Times New Roman"/>
          <w:sz w:val="24"/>
          <w:szCs w:val="24"/>
        </w:rPr>
        <w:t xml:space="preserve">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284" w:leader="none"/>
          <w:tab w:val="left" w:pos="993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tbl>
      <w:tblPr>
        <w:tblStyle w:val="929"/>
        <w:tblW w:w="4888" w:type="pct"/>
        <w:tblInd w:w="108" w:type="dxa"/>
        <w:shd w:val="clear" w:color="auto" w:fill="ffffff"/>
        <w:tblLook w:val="04A0" w:firstRow="1" w:lastRow="0" w:firstColumn="1" w:lastColumn="0" w:noHBand="0" w:noVBand="1"/>
      </w:tblPr>
      <w:tblGrid>
        <w:gridCol w:w="604"/>
        <w:gridCol w:w="4270"/>
        <w:gridCol w:w="107"/>
        <w:gridCol w:w="4375"/>
      </w:tblGrid>
      <w:tr>
        <w:tblPrEx/>
        <w:trPr>
          <w:trHeight w:val="922"/>
        </w:trPr>
        <w:tc>
          <w:tcPr>
            <w:shd w:val="clear" w:color="auto" w:fill="ffffff"/>
            <w:tcW w:w="323" w:type="pct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gridSpan w:val="3"/>
            <w:shd w:val="clear" w:color="auto" w:fill="ffffff"/>
            <w:tcW w:w="4677" w:type="pct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Информация о проведении предварительного отбора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977"/>
        </w:trPr>
        <w:tc>
          <w:tcPr>
            <w:shd w:val="clear" w:color="auto" w:fill="ffffff"/>
            <w:tcW w:w="323" w:type="pct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ffffff"/>
            <w:tcW w:w="2339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 предварительного отбора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W w:w="2338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Оказание услуг и (или) в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ыполнение работ по капитальному ремонту общего имущества многоквартирных домов,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я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вляющихся объектами культурного наследия, в случаях, предусмотренных пунктом 5 статьи 56.1 Федерального закона «Об объектах культурного наследия (памятниках истории и культуры) народов Российской Федерации», являющихся объектами культурного наследия либо в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ыявленными объектами культурного наследия, в случаях, предусмотренных пунктом 6 статьи 56.1 указанного Федерального закона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89"/>
        </w:trPr>
        <w:tc>
          <w:tcPr>
            <w:shd w:val="clear" w:color="auto" w:fill="ffffff"/>
            <w:tcW w:w="323" w:type="pct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ffffff"/>
            <w:tcW w:w="2339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предварительного отбора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W w:w="2338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2-ПО(2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).КРК-1.20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2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6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659"/>
        </w:trPr>
        <w:tc>
          <w:tcPr>
            <w:shd w:val="clear" w:color="auto" w:fill="ffffff"/>
            <w:tcW w:w="323" w:type="pct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gridSpan w:val="3"/>
            <w:shd w:val="clear" w:color="auto" w:fill="ffffff"/>
            <w:tcW w:w="4677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Сведения об органе по ведению РКПО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/>
            <w:tcW w:w="323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3.1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W w:w="2282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Полное наименование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ffffff" w:themeFill="background1"/>
            <w:tcW w:w="2395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Министерство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жилищно-коммунального хозяйства, энергетики,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цифровизации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и связи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Забайкальского края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411"/>
        </w:trPr>
        <w:tc>
          <w:tcPr>
            <w:shd w:val="clear" w:color="auto" w:fill="ffffff"/>
            <w:tcW w:w="323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3.2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W w:w="2282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ffffff" w:themeFill="background1"/>
            <w:tcW w:w="2395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7536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176880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/>
            <w:tcW w:w="323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3.3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W w:w="2282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Место нахождения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ffffff" w:themeFill="background1"/>
            <w:tcW w:w="2395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г. Чита, ул. Чкалова, д. 136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/>
            <w:tcW w:w="323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3.4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W w:w="2282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ffffff" w:themeFill="background1"/>
            <w:tcW w:w="2395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672002, г. Чита, ул. Чкалова, д. 136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290"/>
        </w:trPr>
        <w:tc>
          <w:tcPr>
            <w:shd w:val="clear" w:color="auto" w:fill="ffffff"/>
            <w:tcW w:w="323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3.5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W w:w="2282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электронной почты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ffffff" w:themeFill="background1"/>
            <w:tcW w:w="2395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/>
            <w:hyperlink r:id="rId11" w:tooltip="mailto:pochta@minenergo.e-zab.ru" w:history="1">
              <w:r>
                <w:rPr>
                  <w:rStyle w:val="932"/>
                  <w:rFonts w:ascii="Times New Roman" w:hAnsi="Times New Roman" w:eastAsia="Calibri" w:cs="Times New Roman"/>
                  <w:sz w:val="24"/>
                  <w:szCs w:val="24"/>
                  <w:lang w:val="en-US"/>
                </w:rPr>
                <w:t xml:space="preserve">pochta</w:t>
              </w:r>
              <w:r>
                <w:rPr>
                  <w:rStyle w:val="932"/>
                  <w:rFonts w:ascii="Times New Roman" w:hAnsi="Times New Roman" w:eastAsia="Calibri" w:cs="Times New Roman"/>
                  <w:sz w:val="24"/>
                  <w:szCs w:val="24"/>
                </w:rPr>
                <w:t xml:space="preserve">@</w:t>
              </w:r>
              <w:r>
                <w:rPr>
                  <w:rStyle w:val="932"/>
                  <w:rFonts w:ascii="Times New Roman" w:hAnsi="Times New Roman" w:eastAsia="Calibri" w:cs="Times New Roman"/>
                  <w:sz w:val="24"/>
                  <w:szCs w:val="24"/>
                  <w:lang w:val="en-US"/>
                </w:rPr>
                <w:t xml:space="preserve">minenergo</w:t>
              </w:r>
              <w:r>
                <w:rPr>
                  <w:rStyle w:val="932"/>
                  <w:rFonts w:ascii="Times New Roman" w:hAnsi="Times New Roman" w:eastAsia="Calibri" w:cs="Times New Roman"/>
                  <w:sz w:val="24"/>
                  <w:szCs w:val="24"/>
                </w:rPr>
                <w:t xml:space="preserve">.</w:t>
              </w:r>
              <w:r>
                <w:rPr>
                  <w:rStyle w:val="932"/>
                  <w:rFonts w:ascii="Times New Roman" w:hAnsi="Times New Roman" w:eastAsia="Calibri" w:cs="Times New Roman"/>
                  <w:sz w:val="24"/>
                  <w:szCs w:val="24"/>
                  <w:lang w:val="en-US"/>
                </w:rPr>
                <w:t xml:space="preserve">e</w:t>
              </w:r>
              <w:r>
                <w:rPr>
                  <w:rStyle w:val="932"/>
                  <w:rFonts w:ascii="Times New Roman" w:hAnsi="Times New Roman" w:eastAsia="Calibri" w:cs="Times New Roman"/>
                  <w:sz w:val="24"/>
                  <w:szCs w:val="24"/>
                </w:rPr>
                <w:t xml:space="preserve">-</w:t>
              </w:r>
              <w:r>
                <w:rPr>
                  <w:rStyle w:val="932"/>
                  <w:rFonts w:ascii="Times New Roman" w:hAnsi="Times New Roman" w:eastAsia="Calibri" w:cs="Times New Roman"/>
                  <w:sz w:val="24"/>
                  <w:szCs w:val="24"/>
                  <w:lang w:val="en-US"/>
                </w:rPr>
                <w:t xml:space="preserve">zab</w:t>
              </w:r>
              <w:r>
                <w:rPr>
                  <w:rStyle w:val="932"/>
                  <w:rFonts w:ascii="Times New Roman" w:hAnsi="Times New Roman" w:eastAsia="Calibri" w:cs="Times New Roman"/>
                  <w:sz w:val="24"/>
                  <w:szCs w:val="24"/>
                </w:rPr>
                <w:t xml:space="preserve">.</w:t>
              </w:r>
              <w:r>
                <w:rPr>
                  <w:rStyle w:val="932"/>
                  <w:rFonts w:ascii="Times New Roman" w:hAnsi="Times New Roman" w:eastAsia="Calibri" w:cs="Times New Roman"/>
                  <w:sz w:val="24"/>
                  <w:szCs w:val="24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58"/>
        </w:trPr>
        <w:tc>
          <w:tcPr>
            <w:shd w:val="clear" w:color="auto" w:fill="ffffff"/>
            <w:tcW w:w="323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3.6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W w:w="2282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телефона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ffffff" w:themeFill="background1"/>
            <w:tcW w:w="2395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(3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2)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21-30-48, доб.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5591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92"/>
        </w:trPr>
        <w:tc>
          <w:tcPr>
            <w:shd w:val="clear" w:color="auto" w:fill="ffffff"/>
            <w:tcW w:w="323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3.7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W w:w="2282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Ф.И.О. контактного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ffffff" w:themeFill="background1"/>
            <w:tcW w:w="2395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Ружникова Елена Александровна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1138"/>
        </w:trPr>
        <w:tc>
          <w:tcPr>
            <w:tcW w:w="323" w:type="pct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82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Официальный сайт, на котором размещена документация о проведении предварительного отбора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ffffff" w:themeFill="background1"/>
            <w:tcW w:w="2395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/>
            <w:hyperlink r:id="rId12" w:tooltip="http://zakupki.gov.ru/" w:history="1">
              <w:r>
                <w:rPr>
                  <w:rStyle w:val="932"/>
                  <w:rFonts w:ascii="Times New Roman" w:hAnsi="Times New Roman" w:eastAsia="Calibri" w:cs="Times New Roman"/>
                  <w:sz w:val="24"/>
                  <w:szCs w:val="24"/>
                </w:rPr>
                <w:t xml:space="preserve">http://zakupki.gov.ru/</w:t>
              </w:r>
            </w:hyperlink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185"/>
        </w:trPr>
        <w:tc>
          <w:tcPr>
            <w:tcW w:w="323" w:type="pct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82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сайта оператора электронной площадки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ffffff" w:themeFill="background1"/>
            <w:tcW w:w="2395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/>
            <w:hyperlink r:id="rId13" w:tooltip="http://www.rts-tender.ru/" w:history="1">
              <w:r>
                <w:rPr>
                  <w:rStyle w:val="932"/>
                  <w:rFonts w:ascii="Times New Roman" w:hAnsi="Times New Roman" w:eastAsia="Times New Roman" w:cs="Times New Roman"/>
                  <w:sz w:val="24"/>
                  <w:szCs w:val="24"/>
                  <w:lang w:eastAsia="ru-RU"/>
                </w:rPr>
                <w:t xml:space="preserve">http://www.rts-tender.ru/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23" w:type="pct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82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Период действия результатов предварительного отбора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ffffff" w:themeFill="background1"/>
            <w:tcW w:w="2395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 года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 даты внесения записи об участнике предварительного отбора в РКПО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59"/>
        </w:trPr>
        <w:tc>
          <w:tcPr>
            <w:tcW w:w="323" w:type="pct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82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Дата и время начала срока подачи заявок на участие в предварительном отборе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2395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 мая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года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before="120" w:after="12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часов 00 минут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время местное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23" w:type="pct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82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Дата и время окончания срока подачи заявок на участие в предварительном отборе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2395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26 мая 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года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before="120" w:after="120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часов 00 минут (время местное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23" w:type="pct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82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Дата окончания срока рассмотрения заявок на участие в предварительном отборе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2395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 июня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года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spacing w:after="0" w:line="240" w:lineRule="auto"/>
        <w:tabs>
          <w:tab w:val="left" w:pos="426" w:leader="none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numPr>
          <w:ilvl w:val="0"/>
          <w:numId w:val="6"/>
        </w:numPr>
        <w:ind w:left="0" w:firstLine="0"/>
        <w:jc w:val="center"/>
        <w:spacing w:after="0" w:line="240" w:lineRule="auto"/>
        <w:tabs>
          <w:tab w:val="left" w:pos="426" w:leader="none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Требования к оказанию услуг и (или) выполнению работ по капитальному ремонту общего имущества в многоквартирном доме (их техническим, функциональным, качественным и иным характеристикам)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spacing w:after="0" w:line="240" w:lineRule="auto"/>
        <w:tabs>
          <w:tab w:val="left" w:pos="284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tbl>
      <w:tblPr>
        <w:tblW w:w="4888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915"/>
        <w:gridCol w:w="5731"/>
      </w:tblGrid>
      <w:tr>
        <w:tblPrEx/>
        <w:trPr>
          <w:trHeight w:val="164"/>
          <w:tblHeader/>
        </w:trPr>
        <w:tc>
          <w:tcPr>
            <w:shd w:val="clear" w:color="auto" w:fill="ffffff" w:themeFill="background1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 w:themeFill="background1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Требования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 w:themeFill="background1"/>
            <w:tcW w:w="306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Описание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4"/>
          <w:tblHeader/>
        </w:trPr>
        <w:tc>
          <w:tcPr>
            <w:shd w:val="clear" w:color="auto" w:fill="ffffff" w:themeFill="background1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 w:themeFill="background1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 w:themeFill="background1"/>
            <w:tcW w:w="306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55"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Требования 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оказанию услуг и (или)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выполнению работ по капитальному ремонту общего имущества многоквартирных домов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shd w:val="clear" w:color="auto" w:fill="ffff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Услуги и (или)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работы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должны удовлетворять требованиям строительных, экологических, санитарно-гигиенических, противопожарных и других норм, действующих на территории Российской Федерации.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shd w:val="clear" w:color="auto" w:fill="ffff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Оказание у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слуг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и (или) выполнение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работ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должн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осуществляться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в соответствии с действующими на территории Российской Федерации нормативными документами: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39"/>
              </w:numPr>
              <w:ind w:left="0" w:firstLine="0"/>
              <w:jc w:val="both"/>
              <w:spacing w:after="0" w:line="240" w:lineRule="auto"/>
              <w:shd w:val="clear" w:color="auto" w:fill="ffffff"/>
              <w:tabs>
                <w:tab w:val="left" w:pos="235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Градостроительный кодекс Российской Федерации;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39"/>
              </w:numPr>
              <w:ind w:left="0" w:firstLine="0"/>
              <w:jc w:val="both"/>
              <w:spacing w:after="0" w:line="240" w:lineRule="auto"/>
              <w:shd w:val="clear" w:color="auto" w:fill="ffffff"/>
              <w:tabs>
                <w:tab w:val="left" w:pos="235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Жилищный кодекс Российской Федерации;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39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Земельный кодекс Российской Федерации;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39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Федеральный закон от 30.12.2009 г. № 384-Ф3 «Технический регламент о безопасности зданий и сооружений»;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39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Федеральный закон РФ от 22.07.2008 г. № 123-ФЗ «Технический регламент о требованиях пожарной безопасности»;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39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54.13330.2011 «Здания жилые многоквартирные. Актуализированная редакция СНиП 31-01-2003»;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39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15.13330.2012 «Каменные и армокаменные конструкции. Актуализированная редакция СНиП II-22-81*»;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39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63.13330.2012 «Бетонные и железобетонные конструкции. Основные положения. Актуализированная редакция СНиП 52-01-2003 (с Изменениями № 1, 2»;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39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64.13330.2011 «Деревянные конструкции. Актуализированная редакция СНиП II-25-80»;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39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70.13330.2012 «Несущие и ограждающие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конструкции. Актуализированная редакция СНиП 3.03.01-87»;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39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16.13330.2011 «Стальные конструкции. Актуализированная редакция СНиП II-23-81* (с Изменением № 1)»;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39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17.13330.2011 «Кровли. Актуализированная редакция СНиП II-26-76»;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39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20.13330.2011 «Нагрузки и воздействия. Актуализированная редакция СНиП 2.01.07-85*»;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39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22.13330.2011 «Основания зданий и сооружений. Актуализированная редакция СНиП 2.02.01-83*»;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39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24.13330.2011 «Свайные фундаменты. Актуализированная редакция СНиП 2.02.03-85»;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39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28.13330.2012 «Защита строительных конструкций от коррозии. Актуализированная редакция СНиП 2.03.11-85 (с Изменением № 1)»;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39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30.13330.2012 «Внутренний водопровод и канализация зданий. Актуализированная редакция СНиП 2.04.01-85*»;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39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50.13330.2012 «Тепловая защита зданий. Актуализированная редакция СНиП 23-02-2003»;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39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60.13330.2012 «Отопление, вентиляция и кондиционирование воздуха. Актуализированная редакция СНиП 41-01-2003»;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39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62.13330.2011* «Газораспределительные системы. Актуализированная редакция СНиП 42-01-2002 (с Изменением № 1)»;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39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131.13330.2012 «Строительная климатология. Актуализированная редакция СНиП 23-01-99* (с Изменением № 2»;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39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31-110-2003 «Проектирование и монтаж электроустановок жилых и общественных зданий»;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39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ГОСТ 31565-2012 «Кабельные изделия. Тр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ебования пожарной безопасности».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shd w:val="clear" w:color="auto" w:fill="ffffff"/>
              <w:tabs>
                <w:tab w:val="left" w:pos="235" w:leader="none"/>
              </w:tabs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Данный перечень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нормативных правовых актов уточняется в документации об электронном аукционе.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47"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Требования к качеству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оказываемых услуг и (или)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выполняемых работ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Оказание услуг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 и (или)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в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ыполнение работ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должно осуществляться в полном объеме, качественно и в строгом соответс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твии с нормами и требованиями ГОСТ, СП, СНиП, СанПин, ПУЭ, НПБ, нормативных документов в области охраны и безопасности производства работ, энерго- и ресурсосбережения, а также требованиями соответствующих государственных надзорных и инспектирующих органов.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1) установка информационных щитов с указанием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наименования объекта, н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аименования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з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аказчика, исполнителя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услуг и (или)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работ (подрядной организации, генерального подрядч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ика), фамилии, должности и номеров телефонов ответственного производителя работ по объекту и представителя органа местного самоуправления, курирующего строительство, сроков начала и окончания работ, схемы объекта производится за счет подрядной организации;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2) ремонтные работы должны производиться в будние дни в период с 8.00 часов до 21.00 часа (по письменному согласованию с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з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аказчиком ремонтные работы могут проводиться в выходные и праздничные дни с учетом соответствующих требований законодательства Российской Федерации);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3) своевременное, но не реже одно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го раза в неделю, обеспечение погрузки, транспортировки и утилизации (передачи на полигон) строительного мусора за счет подрядной организации (место утилизации строительного мусора согласовывается подрядной организацией с органами местного самоуправления);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4) еженедельное (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каждый четверг) предоставление з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аказчику в электронном виде на электронную почту фотоотчета с письменными пояс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нениями о ходе выполнения работ, а также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обеспечение возможности круг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лосуточной связи представителя з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аказчика с представителем подрядной организации;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5) обеспечение за счет подрядной организации сохранности материалов, оборудования, стоянки строительной техники и другого имущества, необходимого для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оказания услуг и (или) выполнения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 работ, ограждение рабочей площадки с момента начала работ до сдачи объекта в эксплуатацию.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24"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Требования к качеству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используемых в ходе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оказания услуг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 и (или)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выполнения работ материалов и оборудования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При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оказании услуг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и (или)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выполнении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 работ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должны использоваться материалы, имеющие сертификаты (сертификат соответствия, серти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фикат пожарной безопасности, санитарно-эпидемиологическое заключение), технические паспорта или другие документы, удостоверяющие качество используемых при ремонтных и монтажных работах материалов и оборудования, которые предоставляются Заказчику при сдаче.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Качество используемых материалов должно соответствовать действующим ГОСТ, ТУ.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Сроки эксплуатации оборудования – не менее указанных в паспорте завода-изготовителя.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24"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Требования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к техническим характеристикам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,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используемым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 в ходе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оказания услуг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и (или)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в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ыполнения работ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материалов и оборудования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Количественные и технические характеристики используемых материалов и оборудования определяются в соответствии с 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eastAsia="ru-RU"/>
              </w:rPr>
              <w:t xml:space="preserve">документацией об электронном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аукционе и договором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 проведении капитального ремонта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В случае указания на товарные знаки применяемых материалов следует читать «или эквивалент».</w:t>
            </w:r>
            <w: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r>
          </w:p>
        </w:tc>
      </w:tr>
      <w:tr>
        <w:tblPrEx/>
        <w:trPr>
          <w:trHeight w:val="424"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Требование к календарному плану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оказания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услуг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 и (или) выполнения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работ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Оказание 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слуг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и (или) выполнение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абот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должно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осуществляться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в соответствии с прилагаемым к договору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 проведении капитального ремонта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графиком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оказания услуг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 (или) выполнения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работ.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eastAsia="Calibri" w:cs="Times New Roman"/>
          <w:i/>
          <w:sz w:val="24"/>
          <w:szCs w:val="24"/>
          <w:highlight w:val="cyan"/>
        </w:rPr>
      </w:pPr>
      <w:r>
        <w:rPr>
          <w:rFonts w:ascii="Times New Roman" w:hAnsi="Times New Roman" w:eastAsia="Calibri" w:cs="Times New Roman"/>
          <w:i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i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i/>
          <w:sz w:val="24"/>
          <w:szCs w:val="24"/>
          <w:highlight w:val="cyan"/>
        </w:rPr>
      </w:r>
    </w:p>
    <w:p>
      <w:pPr>
        <w:numPr>
          <w:ilvl w:val="0"/>
          <w:numId w:val="6"/>
        </w:numPr>
        <w:ind w:left="0" w:firstLine="0"/>
        <w:jc w:val="center"/>
        <w:spacing w:after="0" w:line="240" w:lineRule="auto"/>
        <w:tabs>
          <w:tab w:val="left" w:pos="567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Сведения о существенных условиях договора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о проведении капитального ремонта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, которые будут в дальнейшем установлены в документации об электронном аукционе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709"/>
        <w:spacing w:after="0" w:line="240" w:lineRule="auto"/>
        <w:tabs>
          <w:tab w:val="left" w:pos="993" w:leader="none"/>
        </w:tabs>
        <w:rPr>
          <w:rFonts w:ascii="Times New Roman" w:hAnsi="Times New Roman" w:eastAsia="Calibri" w:cs="Times New Roman"/>
          <w:sz w:val="24"/>
          <w:szCs w:val="24"/>
          <w:highlight w:val="cyan"/>
        </w:rPr>
      </w:pP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</w:p>
    <w:tbl>
      <w:tblPr>
        <w:tblStyle w:val="930"/>
        <w:tblW w:w="4888" w:type="pct"/>
        <w:tblInd w:w="108" w:type="dxa"/>
        <w:tblLook w:val="04A0" w:firstRow="1" w:lastRow="0" w:firstColumn="1" w:lastColumn="0" w:noHBand="0" w:noVBand="1"/>
      </w:tblPr>
      <w:tblGrid>
        <w:gridCol w:w="568"/>
        <w:gridCol w:w="2098"/>
        <w:gridCol w:w="6690"/>
      </w:tblGrid>
      <w:tr>
        <w:tblPrEx/>
        <w:trPr>
          <w:tblHeader/>
        </w:trPr>
        <w:tc>
          <w:tcPr>
            <w:shd w:val="clear" w:color="auto" w:fill="auto"/>
            <w:tcW w:w="3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12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Условие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57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Описание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>
          <w:tblHeader/>
        </w:trPr>
        <w:tc>
          <w:tcPr>
            <w:shd w:val="clear" w:color="auto" w:fill="auto"/>
            <w:tcW w:w="3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12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357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3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12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Заказчик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576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Забайкальский фонд капитального ремонта многоквартирных домов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органы местного самоуправления и (или) государственные, муниципальные бюджетные, казенные учреждения в случаях, предусмотренных частью 4 статьи 182 Жилищного кодекса Российской Федерации, осуществляющие функции технического заказчика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3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12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Проект договора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о проведении капитального ремонта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576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Проект договора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будет размещен в составе документации об электронном аукционе на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оказание услуг и (или)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выполнение работ по капитальному ремонту общего имущества многоквартирных домов.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3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12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Предмет договора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о проведении капитального ремонта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576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Предметом договора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является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оказание услуг и (или)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выполнение работ по капитальному ремонту общего имущества многоквартирных домов, расположенных на территории Забайкальского края.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Оказание услуг и (или) выполнение р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абот буд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т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осуществл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яться в отношении объектов, указанных в ориентировочном адресном перечне, содержащемся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br/>
              <w:t xml:space="preserve">в разделе IV Документации о проведении предварительного отбора и размещенном на официальном сайте Министерства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жилищно-коммунального хозяйства, энергетики, цифровизации и связи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Забайкальского края в информационно-телекоммуникационн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ой сети «Интернет» http://минэнерго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.забайкальскийкрай.рф/.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3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12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Цена договора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о проведении капитального ремонта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576" w:type="pct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contextualSpacing/>
              <w:ind w:left="0" w:hanging="5"/>
              <w:jc w:val="both"/>
              <w:tabs>
                <w:tab w:val="left" w:pos="450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Цена договора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может быть увеличена по соглашению сторон в ходе его исполнения, но не более чем на 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процентов в связи с пропорциональным увеличением объема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оказания услуг и (или)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выполнения работ.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7"/>
              </w:numPr>
              <w:contextualSpacing/>
              <w:ind w:left="0" w:hanging="5"/>
              <w:jc w:val="both"/>
              <w:tabs>
                <w:tab w:val="left" w:pos="450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может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быть снижена по соглашению сторон при уменьшении предусмотренных договором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услуг и (или)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7"/>
              </w:numPr>
              <w:contextualSpacing/>
              <w:ind w:left="0" w:hanging="5"/>
              <w:jc w:val="both"/>
              <w:tabs>
                <w:tab w:val="left" w:pos="450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стоимости и объемов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услуг и (или) работ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производится при соблюдении заказчиком положений, установленных частью 5 статьи 189 Жилищного кодекса Российской Федерации. Иные положения договора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изменению не подлежат.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990"/>
        </w:trPr>
        <w:tc>
          <w:tcPr>
            <w:tcW w:w="3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12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Порядок и сроки оплаты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услуг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и (или)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работ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576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/>
            <w:bookmarkStart w:id="1" w:name="Par0"/>
            <w:r/>
            <w:bookmarkEnd w:id="1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Устанавливаются Заказчиком в документации об электронном аукционе.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260"/>
        </w:trPr>
        <w:tc>
          <w:tcPr>
            <w:tcW w:w="3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12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Порядок и сроки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оказания услуг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и (или)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выполнения работ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576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Устанавливаются Заказчиком в документации об электронном аукционе.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3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12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Порядок и сроки приемки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оказанных услуг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и (или)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выполненных работ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576" w:type="pct"/>
            <w:textDirection w:val="lrTb"/>
            <w:noWrap w:val="false"/>
          </w:tcPr>
          <w:p>
            <w:pPr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Приемка результатов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(или)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 по договору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осуществляется после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(или)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выполнения в полном объеме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(или)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 согласно графику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оказания услуг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(или) выпол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ения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Порядок и сроки приемки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оказанных услуг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(или) выполненных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устанавливаются Заказчиком в документации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 аукционе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проверки соответствия качества объемов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оказанных услуг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(или)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выполненных работ, установленных договором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Заказчик вправе привлекать независимых экспертов.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 приемки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оказанных услуг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(или)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выполненных работ должен быть согласован с органом местного самоуправления, а также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лицом, которое уполномочено действовать от имени собственников помещений в многоквартирном доме (в случае, если капитальный ремонт общего имущества в многоквартирном доме проводится на основании решения собственников помещений в этом многоквартирном доме).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окончании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услуг и (или)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 необходимо предоставить Заказчику комплект исполнительной документации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оказанные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(или)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составу и порядку ведения исполнительной документации при строительстве, реконструкции, капитальном ремонте объектов капитального строительства и требованиям, предъявляемым к актам освидетельствования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услуг и (или)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работ, конструкций, участков сетей инженерно-технического обеспечения (РД-11-02-2006), утвержденным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приказом Федеральной службы по экологическому, технологическому и атомному надзору от 26 декабря 2006 года № 1128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 также другими нормативными документами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сфере строительства и капитального ремонта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3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12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Место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оказания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услуг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и (или)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выполнения работ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576" w:type="pct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Устанавливается Заказчиком в документации об электронном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аукционе в пределах территории Забайкальского края.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3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12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Обеспечение исполнения договора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о проведении капитального ремонта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576" w:type="pct"/>
            <w:textDirection w:val="lrTb"/>
            <w:noWrap w:val="false"/>
          </w:tcPr>
          <w:p>
            <w:pPr>
              <w:jc w:val="both"/>
              <w:widowControl w:val="off"/>
              <w:tabs>
                <w:tab w:val="left" w:pos="491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1. Исполнение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обязательств по договору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обеспечивается: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widowControl w:val="off"/>
              <w:tabs>
                <w:tab w:val="left" w:pos="491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а) банковс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кой гарантией, выданной банком, включенным в перечень банков, отвечающих установленным требованиям для принятия банковских гарантий в целях налогообложения, предусмотренный статьей 74.1 Налогового кодекса Российской Федерации (далее - банковская гарантия);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widowControl w:val="off"/>
              <w:tabs>
                <w:tab w:val="left" w:pos="491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б) обеспечительным платежом.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widowControl w:val="off"/>
              <w:tabs>
                <w:tab w:val="left" w:pos="491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2. Способ обеспечения исполнения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обязательств по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договор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определяется участником эле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ктронного аукциона, с которым заключается такой договор, самостоятельно из способов, предусмотренных пунктом 206 Положения о привлечении специализированной некоммерческой организацией, осуществляющей деятельность, направленную на обеспечение проведения кап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итального ремонта общего имущества в многоквартирных домах, подрядных организаций для оказания услуг и (или) выполнения работ по капитальному ремонту общего имуществ в многоквартирном доме, утвержденном постановлением Правительства Российской Федерации от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июля 2016 года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№ 615 (далее – Положение).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widowControl w:val="off"/>
              <w:tabs>
                <w:tab w:val="left" w:pos="491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обеспечения исполнения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обязательств по договору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определяется заказчиком в извещении о проведении электронного аукциона.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widowControl w:val="off"/>
              <w:tabs>
                <w:tab w:val="left" w:pos="491" w:leader="none"/>
              </w:tabs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Размер обеспечения исполнения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обязательств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 может превышать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тридцать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процентов начальной (максимальной) цены договора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указанной в извещении о проведении электронного аукциона.</w:t>
            </w:r>
            <w: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3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12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Гарантийный срок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576" w:type="pct"/>
            <w:textDirection w:val="lrTb"/>
            <w:noWrap w:val="false"/>
          </w:tcPr>
          <w:p>
            <w:pPr>
              <w:pStyle w:val="941"/>
              <w:jc w:val="both"/>
              <w:widowControl w:val="off"/>
              <w:tabs>
                <w:tab w:val="left" w:pos="608" w:leader="none"/>
              </w:tabs>
            </w:pPr>
            <w:r>
              <w:t xml:space="preserve">Условия о гарантийном сроке определяются Заказчиком в документации об электронном аукционе.</w:t>
            </w:r>
            <w:r/>
          </w:p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Срок предоставления гарантий на оказанные услуги и (или) выполненные работы не может быть менее 5 лет со дня подписания соответствующего акта о приемке оказанных услуг и (или) выполненных работ.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</w:tr>
      <w:tr>
        <w:tblPrEx/>
        <w:trPr>
          <w:trHeight w:val="1137"/>
        </w:trPr>
        <w:tc>
          <w:tcPr>
            <w:shd w:val="clear" w:color="auto" w:fill="auto"/>
            <w:tcW w:w="3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12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Ответственность Заказчика и Исполнителя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576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Условия договора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предусматривающие ответственность сторон договора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 неисполнение или ненадлежащее исполнение обязательств по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такому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договору, определяются в документации об электронном аукционе.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12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Порядок заключения договора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о проведении капитального ремонта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576" w:type="pct"/>
            <w:textDirection w:val="lrTb"/>
            <w:noWrap w:val="false"/>
          </w:tcPr>
          <w:p>
            <w:pPr>
              <w:jc w:val="both"/>
              <w:widowControl w:val="off"/>
              <w:tabs>
                <w:tab w:val="left" w:pos="60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Договор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заключается Заказчиком в соответствии с Гражданским кодексом Российской Федерации и Положением.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widowControl w:val="off"/>
              <w:tabs>
                <w:tab w:val="left" w:pos="60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Порядок заключения договора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определяется Заказчиком в документации об электронном аукционе.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12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Другие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существенные условия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576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1. Предмет договора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о проведении капитального ремонта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место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оказания услуг и (или) проведения работ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виды услуг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и (или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работ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не могут 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зменяться в ходе его исполнения,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исключением случаев, предусмотренных Положением.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Сроки оказания услуг и (или) выполнения работ по договору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соглашению сторон могут быть продлены на период действия одного из следующих обстоятельств при наличии документов, подтверждающих такие обстоятельства: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изменение объема оказываемых услуг и (или) выполняемых работ по договору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соглаше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нию сторон при согласовании таких изменений собственниками помещений в многоквартирном доме, уполномоченным представителем собственников таких помещений или органами местного самоуправления в случаях, предусмотренных законодательством Российской Федерации;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недопуск собственникам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помещений в многоквартирном доме подрядной организации к оказанию услуг и (или) выполнению работ по капитальному ремонту по причинам, не связанным с неисполнением или ненадлежащим исполнением такой организацией договора о проведении капитального ремонта;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приостановка оказания услуг и (или) выполнения работ по капитальному ремонту в связи с наступлением отопительного сезона 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или) неблагоприятных погодных условий.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widowControl w:val="off"/>
              <w:tabs>
                <w:tab w:val="left" w:pos="491" w:leader="none"/>
                <w:tab w:val="left" w:pos="571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2. При исполнении договора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 допускается перемена подрядчика, за исключением случаев, если новый подрядчик является правопреемником подрядчика по договору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вследствие реорганизации юридического лица в порядке,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предусмотренном законодательством Российской Федерации.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widowControl w:val="off"/>
              <w:tabs>
                <w:tab w:val="left" w:pos="491" w:leader="none"/>
                <w:tab w:val="left" w:pos="571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3. Расторжение договора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допускается: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widowControl w:val="off"/>
              <w:tabs>
                <w:tab w:val="left" w:pos="491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а) по соглашению сторон;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widowControl w:val="off"/>
              <w:tabs>
                <w:tab w:val="left" w:pos="491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б) по инициативе Заказчика, в том числе в виде одностороннего расторжения договора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или подрядной организации (основания такого расторжения устанавливаются в договоре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о проведении капитального ремонта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);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widowControl w:val="off"/>
              <w:tabs>
                <w:tab w:val="left" w:pos="491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в) по решению суда по основаниям, предусмотренным законодательством Российской Федерации.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widowControl w:val="off"/>
              <w:tabs>
                <w:tab w:val="left" w:pos="491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4. Заказчик вправе расторгнуть договор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 одностороннем порядке с взысканием причиненных убытков в следующих случаях: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941"/>
              <w:ind w:firstLine="14"/>
              <w:jc w:val="both"/>
              <w:tabs>
                <w:tab w:val="left" w:pos="298" w:leader="none"/>
                <w:tab w:val="left" w:pos="600" w:leader="none"/>
              </w:tabs>
            </w:pPr>
            <w:r>
              <w:t xml:space="preserve">а) систематическое (2 раза и более) нарушение подрядной организацией сроков</w:t>
            </w:r>
            <w:r>
              <w:t xml:space="preserve"> оказания услуг и (или)</w:t>
            </w:r>
            <w:r>
              <w:t xml:space="preserve"> выполнения работ;</w:t>
            </w:r>
            <w:r/>
          </w:p>
          <w:p>
            <w:pPr>
              <w:pStyle w:val="941"/>
              <w:ind w:firstLine="14"/>
              <w:jc w:val="both"/>
              <w:tabs>
                <w:tab w:val="left" w:pos="298" w:leader="none"/>
                <w:tab w:val="left" w:pos="600" w:leader="none"/>
              </w:tabs>
            </w:pPr>
            <w:r>
              <w:t xml:space="preserve">б) задержка подрядной организацией начала </w:t>
            </w:r>
            <w:r>
              <w:t xml:space="preserve">оказания услуг и (или) </w:t>
            </w:r>
            <w:r>
              <w:t xml:space="preserve">выполнения работ более чем на 5 календарных дней по </w:t>
            </w:r>
            <w:r>
              <w:t xml:space="preserve">причинам, не зависящим от Заказчика или собственников помещений в многоквартирном доме;</w:t>
            </w:r>
            <w:r/>
          </w:p>
          <w:p>
            <w:pPr>
              <w:pStyle w:val="941"/>
              <w:ind w:firstLine="14"/>
              <w:jc w:val="both"/>
              <w:tabs>
                <w:tab w:val="left" w:pos="298" w:leader="none"/>
                <w:tab w:val="left" w:pos="600" w:leader="none"/>
              </w:tabs>
            </w:pPr>
            <w:r>
              <w:t xml:space="preserve">в) неоднократное (2 раза и более в течение одного календарного месяца) несоблюдение (отступление от требований, предусмотренных договором</w:t>
            </w:r>
            <w:r>
              <w:rPr>
                <w:rFonts w:eastAsia="Calibri"/>
              </w:rPr>
              <w:t xml:space="preserve"> о проведении капитального ремонта</w:t>
            </w:r>
            <w:r>
              <w:t xml:space="preserve">, проектной документацией, стандартами, нормами и правилами, а также иными действующими нормативными правовыми актами) подрядной организацией требований к качеству </w:t>
            </w:r>
            <w:r>
              <w:t xml:space="preserve">услуг и (или) </w:t>
            </w:r>
            <w:r>
              <w:t xml:space="preserve">работ и (или) технологии проведения работ;</w:t>
            </w:r>
            <w:r/>
          </w:p>
          <w:p>
            <w:pPr>
              <w:pStyle w:val="941"/>
              <w:ind w:firstLine="14"/>
              <w:jc w:val="both"/>
              <w:tabs>
                <w:tab w:val="left" w:pos="298" w:leader="none"/>
                <w:tab w:val="left" w:pos="600" w:leader="none"/>
              </w:tabs>
            </w:pPr>
            <w:r>
              <w:t xml:space="preserve">г) неоднократное (2 раза и более в течение одного календарного месяца) использование некачественных материалов, изделий и конструкций, выявленных Заказчиком в соответствии с условиями договора</w:t>
            </w:r>
            <w:r>
              <w:rPr>
                <w:rFonts w:eastAsia="Calibri"/>
              </w:rPr>
              <w:t xml:space="preserve"> о проведении капитального ремонта</w:t>
            </w:r>
            <w:r>
              <w:t xml:space="preserve">;</w:t>
            </w:r>
            <w:r/>
          </w:p>
          <w:p>
            <w:pPr>
              <w:pStyle w:val="941"/>
              <w:ind w:firstLine="14"/>
              <w:jc w:val="both"/>
              <w:tabs>
                <w:tab w:val="left" w:pos="298" w:leader="none"/>
                <w:tab w:val="left" w:pos="600" w:leader="none"/>
              </w:tabs>
            </w:pPr>
            <w:r>
              <w:t xml:space="preserve">д) прекращение членства подрядной организации в саморегулируемой организации, издание актов государственных органов в рамках законодательства Российской </w:t>
            </w:r>
            <w:r>
              <w:t xml:space="preserve">Федерации, лишающих права подрядной организации на производство работ;</w:t>
            </w:r>
            <w:r/>
          </w:p>
          <w:p>
            <w:pPr>
              <w:pStyle w:val="941"/>
              <w:ind w:firstLine="14"/>
              <w:jc w:val="both"/>
              <w:tabs>
                <w:tab w:val="left" w:pos="298" w:leader="none"/>
                <w:tab w:val="left" w:pos="600" w:leader="none"/>
              </w:tabs>
            </w:pPr>
            <w:r>
              <w:t xml:space="preserve">е) нарушение подрядной организацией сроков</w:t>
            </w:r>
            <w:r>
              <w:t xml:space="preserve"> оказания услуг и (или)</w:t>
            </w:r>
            <w:r>
              <w:t xml:space="preserve"> выполнения работ продолжительностью более</w:t>
            </w:r>
            <w:r>
              <w:br/>
            </w:r>
            <w:r>
              <w:t xml:space="preserve">15 календарных дней по любому из многоквартирных домов;</w:t>
            </w:r>
            <w:r/>
          </w:p>
          <w:p>
            <w:pPr>
              <w:pStyle w:val="941"/>
              <w:ind w:firstLine="14"/>
              <w:jc w:val="both"/>
              <w:tabs>
                <w:tab w:val="left" w:pos="298" w:leader="none"/>
                <w:tab w:val="left" w:pos="600" w:leader="none"/>
              </w:tabs>
            </w:pPr>
            <w:r>
              <w:t xml:space="preserve">ж) нарушение срока замены банковской гарантии, установленного договором</w:t>
            </w:r>
            <w:r>
              <w:rPr>
                <w:rFonts w:eastAsia="Calibri"/>
              </w:rPr>
              <w:t xml:space="preserve"> о проведении капитального ремонта</w:t>
            </w:r>
            <w:r>
              <w:t xml:space="preserve">, при отзыве лицензии, банкротстве или ликвидации банка-гаранта более чем на 2 рабочих дня;</w:t>
            </w:r>
            <w:r/>
          </w:p>
          <w:p>
            <w:pPr>
              <w:jc w:val="both"/>
              <w:widowControl w:val="off"/>
              <w:tabs>
                <w:tab w:val="left" w:pos="491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з) выявление Заказчиком после заключения договора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факта недействительности представленной подрядной организацией банковской гарантии (представление поддельных документов, получение от банка-гаранта опровержения выдачи банковской гарантии подрядной организации в письменной форме)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и) неисполнение обязательства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продлении срока банковской гарантии при изменении сроков оказания услуг и (или) выполнения работ в связи с изменением по соглашению сторон сроков оказания услуг и (или) выполнения работ либо при нарушении подрядной организацией предусмотренных договором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сроков оказания услуг и (или) выполнения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spacing w:after="0" w:line="240" w:lineRule="auto"/>
        <w:tabs>
          <w:tab w:val="left" w:pos="567" w:leader="none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spacing w:after="0" w:line="240" w:lineRule="auto"/>
        <w:tabs>
          <w:tab w:val="left" w:pos="567" w:leader="none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numPr>
          <w:ilvl w:val="0"/>
          <w:numId w:val="6"/>
        </w:numPr>
        <w:ind w:left="0" w:firstLine="0"/>
        <w:jc w:val="center"/>
        <w:spacing w:after="0" w:line="240" w:lineRule="auto"/>
        <w:tabs>
          <w:tab w:val="left" w:pos="567" w:leader="none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Ориентировочные адресные перечни многоквартирных домов, на выполнение капитального ремонта общего имущества в которых в дальнейшем будет проводиться электронный аукцион, либо указание на сайт в сети «Интернет», где размещены указанные адресные перечни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tbl>
      <w:tblPr>
        <w:tblW w:w="4888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915"/>
        <w:gridCol w:w="5731"/>
      </w:tblGrid>
      <w:tr>
        <w:tblPrEx/>
        <w:trPr>
          <w:trHeight w:val="164"/>
          <w:tblHeader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Требования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Описание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4"/>
          <w:tblHeader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4"/>
          <w:tblHeader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Ориентировочные адресные перечни многоквартирных домов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Ориентировочный адресный перечень многоквартирных домов, 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оказание услуг и (или)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выполнение работ по капитальному ремонту общего имущества в которых в дальнейшем будет проводиться электронный аукцион, размещен на сайте органа по ведению РКПО (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http://мин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энерго.з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абайкальскийкрай.рф/) в разделе «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Деятельность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Жилищно-коммунальн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ое хозяйство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» / «Капитальный ремонт многоквартирных домов» / «Предварительный отбор подрядных организаций»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</w:tbl>
    <w:p>
      <w:pPr>
        <w:spacing w:after="0" w:line="240" w:lineRule="auto"/>
        <w:tabs>
          <w:tab w:val="left" w:pos="426" w:leader="none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numPr>
          <w:ilvl w:val="0"/>
          <w:numId w:val="6"/>
        </w:numPr>
        <w:ind w:left="0" w:firstLine="0"/>
        <w:jc w:val="center"/>
        <w:spacing w:after="0" w:line="240" w:lineRule="auto"/>
        <w:tabs>
          <w:tab w:val="left" w:pos="426" w:leader="none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Требования к участникам предварительного отбора, установленные пунктом 23 Положения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tbl>
      <w:tblPr>
        <w:tblW w:w="4888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915"/>
        <w:gridCol w:w="5731"/>
      </w:tblGrid>
      <w:tr>
        <w:tblPrEx/>
        <w:trPr>
          <w:trHeight w:val="164"/>
          <w:tblHeader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Требования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Описание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4"/>
          <w:tblHeader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57"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Требования к участникам предварительного отбора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Участником предварительного отбора может являться юридическое лицо независимо от организационно-правовой формы или индивидуальный предприниматель, претендующие на включение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РКПО (далее – Участник).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При проведении предварительного отбора к его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частнику устанавливаются следующие требования: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членство в саморегулируемой организации в области строительства, реконструкции, капитального ремонта объектов капитального строительства;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б) отсутствие у Участника задолженности по уплате нал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огов, сборов и иных обязательных платежей в бюджеты бюджетной системы Российской Федерации за прошедший календарный год, за исключением случаев обжалования им задолженностей по обязательным платежам в бюджеты бюджетной системы Российской Федерации в соотве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тствии с законодательством Российской Федерации,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рассмотрения указанной заявки не вступило в законную силу;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в) отсутствие у Участника за 3 года, предшествующие дате окончания срока подачи заявок на участие в предварительном отборе, контракта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 договора, в том числе заключенного в соответствии с Положением, по строительству, реконструкции и (или) капитальному ремонту объектов капитального строительства, относящихся к той же группе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услуг и (или)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работ, что и предмет предварительного отбора, расторгнутого по решению суда или расторгнутого по требованию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одной из сторон такого контракта или договора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случае существенных нарушений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частником условий такого контракта или договора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г) отсутствие процедуры проведения ликвидации в отношении Участника или отсутствие решения арбитражного суда о признании Участника банкротом и об открытии конкурсного производства;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д) неприостановление деятельности Участника в порядке, предусмотренном Кодексом Российской Федерации об административных правонарушениях, на дату проведения предварительного отбора;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е) отсутствие конфликта интересов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то есть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чаев, при которых руководитель Заказчика, член комиссии по проведению предварительного отбора, комиссии по осуществлению закупок, должностное лицо Заказчика, осуществляющее организационное сопровождение привлечения подрядных организаций, состоят в браке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физическими лицами, являющимися выгодоприобретателями, единоличным исполнительным органом хозяйственного общества, членами коллегиального исполнительного органа хозяйственного общества, руководителем учреждения или унитарного предприятия либо иных органов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юридического лица -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частника либо являются близкими родственниками (родственниками по прямой восходящей и нисходящей линии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(родителями и детьми, дедушкой, бабушкой и внуками), полнородными и неполнородными (имеющими общих отца или мать) братьями или сестрами), усыновителями указанных физических лиц или усыновленными ими. Под выгодоприобретателями понимаются физические лица,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ладеющие напрямую или косвенно (через юридическое лицо или через несколько юридических лиц) более чем 10 (десятью) процентами голосующих акций хозяйственного общества либо долей, превышающей 10 (десять) процентов в уставном капитале хозяйственного общества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ж) неприменение в отношении Участника – физического лица либо руководителя, членов коллеги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ального исполнительного органа или главного бухгалтера Участника – 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з) отсутствие сведений об Участнике в реестре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недобросовестных поставщиков (подрядчиков, исполнителей), ве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дение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и) отсутствие сведений об Участнике в реестре недобросовестных подрядных организаций, ведение которого осуществляется федеральным органом исполнительной власти в порядке, установленном разделом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  <w:t xml:space="preserve">VII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Положения;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к) невозможность для Участника являться юридическим лицом, местом регистрации которого является государство или территория, включенные в утверждаемый в соответствии с подпунктом 1 пункта 3 статьи 284 Налог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ового кодекса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в отношении юридических лиц;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л) наличие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 штате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 Участника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работников, соответствующих установленным пунктом 1 части 6 статьи 55.5 Градостроительного кодекса Российской Федерации квалификационным требованиям, в количестве, установленном в приложении № 2 «Требования к минимальному количеству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квалифицированного персонала, входящего в штат Участника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к Документации о проведении предварительного отбора, но не ниже количества, установленного пунктом 2 части 6 статьи 55.5 Градостроительного кодекса Российской Федерации;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м) наличие у Участника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3 года, предшествующи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дате окончания срока подачи заявок на участие в предварительном отборе, опыта оказания услуг и (или) выполнения работ, аналогичных предмету проводимого предварительного отбора, не менее чем по 3 исполненным контрактам и (или) договорам, предметом которых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являлись строительство, реконструкция, капитальный ремонт здани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й, являющихся объектами капитального строительства, ремонт (замена) лифтового оборудования, разработка проектной документации, в том числе по договорам, заключенным в соответствии с Положением. При этом минимальный размер стоимости оказанных услуг и (или)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 по указанным исполненным контрактам и (или) договорам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 в приложении № 3 «Минимальный размер стоимости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оказанных услуг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(или)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выполненных работ» к Документации о проведении предварительного отбора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размере не более 10 процентов предельного размера обязательств по договорам строительного подряда, в соот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ветствии с которым Участником как членом саморегулируемой организации, основанной на членстве лиц, осуществляющих строительство, внесен взнос в компенсационный фонд обеспечения договорных обязательств, сформированный в соответствии с частью 2 статьи 55.16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Градостроительного кодекса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н) отсутствие в отношении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частника решения об исключении подрядной организации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РКПО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случае установления одного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фактов, указанных в подпунктах «з» - «к»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пункта 66 Положения, в течение года до даты рассмотрения заявок на участие в предварительном отборе комиссией по проведению предварительного отбора.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numPr>
          <w:ilvl w:val="0"/>
          <w:numId w:val="6"/>
        </w:numPr>
        <w:ind w:left="0" w:firstLine="0"/>
        <w:jc w:val="center"/>
        <w:spacing w:after="0" w:line="240" w:lineRule="auto"/>
        <w:tabs>
          <w:tab w:val="left" w:pos="567" w:leader="none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Требования к содержанию, форме и составу заявки на участие в предварительном отборе, предусмотренные пунктами 37 и 38 Положения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tbl>
      <w:tblPr>
        <w:tblW w:w="4888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915"/>
        <w:gridCol w:w="5731"/>
      </w:tblGrid>
      <w:tr>
        <w:tblPrEx/>
        <w:trPr>
          <w:trHeight w:val="164"/>
          <w:tblHeader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Требования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Описание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4"/>
          <w:tblHeader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4"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Требования к содержанию, форме и составу заявки на участие в предварительном отборе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Заявку на участие в предварительном отборе (далее – Заявка) р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екомендуется подготовить и представить по форме, установленной в приложении № 1 к Документации о проведении предварительного отбора.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Заявка, а также все сведения и документы, которые входят в ее состав в соответствии с Документацией о проведении предварительного отбора, подаются через оператора электронной площадки в виде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электронного документа.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Заявка должна быть подписана усиленной квалифицированной электронной подписью.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Ключи усиленных квалифицированных электронных подписей должны быть созданы и выданы удостоверяющими центрами, получившими аккредитацию на соответствие треб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ованиям Федерального закона от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6 апреля 2011 года № 63-ФЗ «Об электронной подписи».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contextualSpacing/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4. Заявка должна содержать: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contextualSpacing/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а) следующие сведения и документы об Участнике,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подавшем Заявку: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25"/>
              </w:numPr>
              <w:ind w:left="0" w:firstLine="0"/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полное наименование, сведения об организационно-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правовой форме, о месте нахождения, об адресе юридического лица, идентификационный номер налогоплательщика (при наличии) учредителей, членов коллегиального исполнительного органа, лица, исполняющего функции единоличного исполнительного органа Участника, – </w:t>
            </w:r>
            <w:r>
              <w:rPr>
                <w:rFonts w:ascii="Times New Roman" w:hAnsi="Times New Roman" w:eastAsia="Calibri" w:cs="Times New Roman"/>
                <w:i/>
                <w:sz w:val="24"/>
                <w:szCs w:val="24"/>
                <w:u w:val="single"/>
              </w:rPr>
              <w:t xml:space="preserve">для юридического лица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25"/>
              </w:numPr>
              <w:ind w:left="0" w:firstLine="0"/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фамилию, имя, отчество, паспортные данные, сведения о месте жительства, номер контактного телефона – </w:t>
            </w:r>
            <w:r>
              <w:rPr>
                <w:rFonts w:ascii="Times New Roman" w:hAnsi="Times New Roman" w:eastAsia="Calibri" w:cs="Times New Roman"/>
                <w:i/>
                <w:sz w:val="24"/>
                <w:szCs w:val="24"/>
                <w:u w:val="single"/>
              </w:rPr>
              <w:t xml:space="preserve">для физического лица, зарегистрированного в качестве индивидуального предпринимателя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25"/>
              </w:numPr>
              <w:ind w:left="0" w:firstLine="0"/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Единого государственного реестра юридических лиц или засвидетельствованная в нотариальном порядке копия такой выписки, полученная не ранее чем за 30 календарных дней до даты подачи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аявки, –</w:t>
            </w:r>
            <w:r>
              <w:rPr>
                <w:rFonts w:ascii="Times New Roman" w:hAnsi="Times New Roman" w:eastAsia="Calibri" w:cs="Times New Roman"/>
                <w:i/>
                <w:sz w:val="24"/>
                <w:szCs w:val="24"/>
                <w:u w:val="single"/>
              </w:rPr>
              <w:t xml:space="preserve"> для юридического лица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25"/>
              </w:numPr>
              <w:ind w:left="0" w:firstLine="0"/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Единого государственного реестра индивидуальных предпринимателей или засвидетельствованная в нотариальном порядке копия такой выписки, полученная не ранее чем за 30 календарных дней до даты подачи Заявки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eastAsia="Calibri" w:cs="Times New Roman"/>
                <w:i/>
                <w:sz w:val="24"/>
                <w:szCs w:val="24"/>
                <w:u w:val="single"/>
              </w:rPr>
              <w:t xml:space="preserve">для физического лица, зарегистрированного в качестве индивидуального предпринимателя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25"/>
              </w:numPr>
              <w:ind w:left="0" w:firstLine="0"/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копии учредительных документов Участника – </w:t>
            </w:r>
            <w:r>
              <w:rPr>
                <w:rFonts w:ascii="Times New Roman" w:hAnsi="Times New Roman" w:eastAsia="Calibri" w:cs="Times New Roman"/>
                <w:i/>
                <w:sz w:val="24"/>
                <w:szCs w:val="24"/>
                <w:u w:val="single"/>
              </w:rPr>
              <w:t xml:space="preserve">для юридического лица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25"/>
              </w:numPr>
              <w:ind w:left="0" w:firstLine="0"/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копия засвидетельствованного в нотариальном порядке пер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иностранного государства, полученная не ранее чем за 6 месяцев до дня подачи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З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аявки, – </w:t>
            </w:r>
            <w:r>
              <w:rPr>
                <w:rFonts w:ascii="Times New Roman" w:hAnsi="Times New Roman" w:eastAsia="Calibri" w:cs="Times New Roman"/>
                <w:i/>
                <w:sz w:val="24"/>
                <w:szCs w:val="24"/>
                <w:u w:val="single"/>
              </w:rPr>
              <w:t xml:space="preserve">для иностранных лиц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25"/>
              </w:numPr>
              <w:ind w:left="0" w:firstLine="0"/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документ, подтверждающий полномочия лица на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осуществление действий от имени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Участника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б) следующие документы, подтверждающие соответствие Участника требованиям, установленным пунктом 23 Положения: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25"/>
              </w:numPr>
              <w:ind w:left="0" w:firstLine="0"/>
              <w:jc w:val="both"/>
              <w:spacing w:after="0" w:line="240" w:lineRule="auto"/>
              <w:widowControl w:val="off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копия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справк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налогового органа об отсутствии задолженности по уплате налогов, сборов и иных обязательных платежей в бюджеты бюджетной системы Российской Федерации, полученная не ранее 1 января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года, в котором подается Заявка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25"/>
              </w:numPr>
              <w:ind w:left="0" w:firstLine="0"/>
              <w:jc w:val="both"/>
              <w:spacing w:after="0" w:line="240" w:lineRule="auto"/>
              <w:widowControl w:val="off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копия расчета по страховым взносам, представляемого плательщиками страховых взносов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составленн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ого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за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последний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отчетный период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предшествующий дате подачи Заявки,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форме, утвержденной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уполномоченным органом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 отметкой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ного органа о приеме или с приложением копии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документов, подтверждающих прием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уполномоченным органом такого расчета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форме электронного документа, копия штатного расписания, штатно-списочный состав сотрудников, копии трудовых книжек, дипломов, сертификатов, аттестатов и удостоверений, подтверждающих наличие у Участника в штате минимального количества квалифицированного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персонала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татно-списочный состав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сотрудников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рекомендуется представить по форме, установленной в приложении №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к Документации о про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ведении предварительного отбора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);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25"/>
              </w:numPr>
              <w:ind w:left="0" w:firstLine="0"/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копии не менее 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исполненных контрактов и (или) договоров, подтверждающих наличие у Участника, предусмотренного подпунктом «п»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пункта 23 Положения, опыта оказания услуг и (или) выполнения работ, аналогичных предмету проводимого предварительного отбора, в которых указаны установленный срок оказания услуг и (или) выполнения работ и их первоначальная стоимость, копии актов приемки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казанных услуг и (или) выполненных работ или иных документов по таким контрактам и (или) договорам, в которых указана их окончательная стоимость и которыми подтверждается приемка заказчиком услуг и (или) работ, оказанных и (или) выполненных в полном объеме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этом минимальный размер стоимости оказанных услуг и (или) выполненных работ по указанным исполненным контрактам и (или) договорам установлен в приложении № 3 «Минимальный размер стоимости оказанных услуг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(или)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выполненных работ» к Документации о проведении предварительного отбора в размере не более 10 процентов предельного размера обязательств по договорам строительного подряда, в соответствии с которым Участником как членом саморег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улируемой организации, основанной на членстве лиц, осуществляющих строительство, внесен взнос в компенсационный фонд обеспечения договорных обязательств, сформированный в соответствии с частью 2 статьи 55.16 Градостроительного кодекса Российской Федерации.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стоимости оказанных услуг и (или) выполненных работ по всем исполненным контрактам и (или) договорам, представленным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Участником и соответствующим требованиям пункта 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определяется как совокупная стоимость услуг и (или) работ по таким контрактам и (или) договорам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Обобщенные сведения о наличии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контрактов и (или) договоров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их выполнении рекомендуется представить по форме «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Перечень контрактов и (или) договоров, подтверждающих наличие у участника предварительного отбора опыта оказания услуг и (или) выполнения работ, аналогичных предмету предварительного отбора»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(приложение № 5 к Документации о проведении предварительного отбора).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color w:val="00b050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в) согласие на обработку персональных данных в соответствии с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пунктом 9 статьи 9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Федеральн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ого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закон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от 27 июля 2006 года № 152-ФЗ «О персональных данных»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каждого работника, персональные данные которого содержатся в заявке на участие в предварительном отборе.</w:t>
            </w:r>
            <w:r>
              <w:rPr>
                <w:rFonts w:ascii="Times New Roman" w:hAnsi="Times New Roman" w:eastAsia="Calibri" w:cs="Times New Roman"/>
                <w:color w:val="00b05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екомендуемая форма представлена в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риложении № 7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Calibri" w:cs="Times New Roman"/>
                <w:color w:val="00b050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color w:val="00b050"/>
                <w:sz w:val="24"/>
                <w:szCs w:val="24"/>
                <w:highlight w:val="cyan"/>
              </w:rPr>
            </w:r>
          </w:p>
        </w:tc>
      </w:tr>
    </w:tbl>
    <w:p>
      <w:pPr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numPr>
          <w:ilvl w:val="0"/>
          <w:numId w:val="6"/>
        </w:numPr>
        <w:ind w:left="0" w:firstLine="0"/>
        <w:jc w:val="center"/>
        <w:spacing w:after="0" w:line="240" w:lineRule="auto"/>
        <w:tabs>
          <w:tab w:val="left" w:pos="567" w:leader="none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Порядок, дата начала срока подачи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и изменения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заявок на участие в предварительном отборе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tbl>
      <w:tblPr>
        <w:tblW w:w="4888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915"/>
        <w:gridCol w:w="5731"/>
      </w:tblGrid>
      <w:tr>
        <w:tblPrEx/>
        <w:trPr>
          <w:trHeight w:val="164"/>
          <w:tblHeader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Требования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Описание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4"/>
          <w:tblHeader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4"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Порядок, дата начала срока подачи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и изменения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заявок на участие в предварительном отборе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ind w:firstLine="235"/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Взимание платы оператором электронной площадки с участников предварительного отбора и с органа по ведению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реестра не допускаетс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235"/>
              <w:jc w:val="both"/>
              <w:spacing w:after="0" w:line="240" w:lineRule="auto"/>
              <w:widowControl w:val="off"/>
              <w:tabs>
                <w:tab w:val="left" w:pos="37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Заявка, а также все сведения и документы, которые входят в ее состав в соответствии с Положением, подаются через оператора электронной площадки в виде электронного документа.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firstLine="235"/>
              <w:jc w:val="both"/>
              <w:spacing w:after="0" w:line="240" w:lineRule="auto"/>
              <w:widowControl w:val="off"/>
              <w:tabs>
                <w:tab w:val="left" w:pos="37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Дата начала сро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 подачи 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аявок установлена 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извещении о про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ведении предварительного отбора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(далее – извещение) и разделе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«Общие положения»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Документации о пров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едении предварительного отбора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firstLine="235"/>
              <w:jc w:val="both"/>
              <w:spacing w:after="0" w:line="240" w:lineRule="auto"/>
              <w:widowControl w:val="off"/>
              <w:tabs>
                <w:tab w:val="left" w:pos="37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рамках одного предмета предварительного отбора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Участник вправе подать только одну Заявку, пока она не рассмотрена в порядке, предусмотренном Положением, и по ней не принято решение об отказе во включении Участника 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РКПО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firstLine="235"/>
              <w:jc w:val="both"/>
              <w:spacing w:after="0" w:line="240" w:lineRule="auto"/>
              <w:widowControl w:val="off"/>
              <w:tabs>
                <w:tab w:val="left" w:pos="377" w:leader="none"/>
                <w:tab w:val="left" w:pos="567" w:leader="none"/>
                <w:tab w:val="left" w:pos="1276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Каждая Заявка, поступившая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срок, указанный в извещении и Документации о проведении предварительного отбора,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регистрируется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оператором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электронной площадки с присвоением порядкового номера.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firstLine="235"/>
              <w:jc w:val="both"/>
              <w:spacing w:after="0" w:line="240" w:lineRule="auto"/>
              <w:widowControl w:val="off"/>
              <w:tabs>
                <w:tab w:val="left" w:pos="37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Заявки, поданные после даты и времени окончания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срока подачи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принимаются оператором электронной площадки.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235"/>
              <w:jc w:val="both"/>
              <w:spacing w:after="0" w:line="240" w:lineRule="auto"/>
              <w:widowControl w:val="off"/>
              <w:tabs>
                <w:tab w:val="left" w:pos="37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Участник, подавший Заявку, вправе ее изменить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соблюдением требований, установленных Положением.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firstLine="235"/>
              <w:jc w:val="both"/>
              <w:spacing w:after="0" w:line="240" w:lineRule="auto"/>
              <w:widowControl w:val="off"/>
              <w:tabs>
                <w:tab w:val="left" w:pos="377" w:leader="none"/>
                <w:tab w:val="left" w:pos="56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Внесение изменений в Заявку осуществляется через сайт оператора электронной площадки в соответствии с регламентом работы электронной площадки. Изменения, которые вносятся в Заявку, должны быть подписаны усиленной квалифицированной электронной подписью.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firstLine="235"/>
              <w:jc w:val="both"/>
              <w:spacing w:after="0" w:line="240" w:lineRule="auto"/>
              <w:widowControl w:val="off"/>
              <w:tabs>
                <w:tab w:val="left" w:pos="377" w:leader="none"/>
                <w:tab w:val="left" w:pos="56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подачи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аявок должен быть продлен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таким образом, чтобы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размещения на официальном сайте и сайте оператора электронной площадки изменений,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вносимых в соответствии с пунктом 21 Положения, до даты окончания срока подачи заявок на участие в предварительном отборе этот срок составлял не менее чем 10 дней.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firstLine="235"/>
              <w:jc w:val="both"/>
              <w:spacing w:after="0" w:line="240" w:lineRule="auto"/>
              <w:widowControl w:val="off"/>
              <w:tabs>
                <w:tab w:val="left" w:pos="377" w:leader="none"/>
                <w:tab w:val="left" w:pos="56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spacing w:after="0" w:line="240" w:lineRule="auto"/>
        <w:tabs>
          <w:tab w:val="left" w:pos="709" w:leader="none"/>
        </w:tabs>
        <w:rPr>
          <w:rFonts w:ascii="Times New Roman" w:hAnsi="Times New Roman" w:eastAsia="Calibri" w:cs="Times New Roman"/>
          <w:b/>
          <w:sz w:val="24"/>
          <w:szCs w:val="24"/>
          <w:highlight w:val="cyan"/>
        </w:rPr>
      </w:pP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</w:p>
    <w:p>
      <w:pPr>
        <w:numPr>
          <w:ilvl w:val="0"/>
          <w:numId w:val="6"/>
        </w:numPr>
        <w:ind w:left="0" w:firstLine="0"/>
        <w:jc w:val="center"/>
        <w:spacing w:after="0" w:line="240" w:lineRule="auto"/>
        <w:tabs>
          <w:tab w:val="left" w:pos="709" w:leader="none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Порядок и срок отзыва заявок на участие в предварительном отборе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99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tbl>
      <w:tblPr>
        <w:tblW w:w="4888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915"/>
        <w:gridCol w:w="5731"/>
      </w:tblGrid>
      <w:tr>
        <w:tblPrEx/>
        <w:trPr>
          <w:trHeight w:val="164"/>
          <w:tblHeader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Требования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Описание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4"/>
          <w:tblHeader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4"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Порядок и срок отзыва заявок на участие в предварительном отборе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ind w:firstLine="235"/>
              <w:jc w:val="both"/>
              <w:spacing w:after="0" w:line="240" w:lineRule="auto"/>
              <w:widowControl w:val="off"/>
              <w:tabs>
                <w:tab w:val="left" w:pos="37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Участник, подавший Заявку, вправе ее отозвать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соблюдением требований, установленных Положением.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firstLine="235"/>
              <w:jc w:val="both"/>
              <w:spacing w:after="0" w:line="240" w:lineRule="auto"/>
              <w:widowControl w:val="off"/>
              <w:tabs>
                <w:tab w:val="left" w:pos="37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Заявка может быть отозвана до даты и времени окончания срока подачи Заявок, указанных в извещении 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разделе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«Общие положения»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Документации о проведении предварительного отбора.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firstLine="235"/>
              <w:jc w:val="both"/>
              <w:spacing w:after="0" w:line="240" w:lineRule="auto"/>
              <w:widowControl w:val="off"/>
              <w:tabs>
                <w:tab w:val="left" w:pos="37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Отзыв Заявки осуществляется через сайт оператора электронной площадки в соответствии с регламентом работы электронной площадки.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firstLine="235"/>
              <w:jc w:val="both"/>
              <w:spacing w:after="0" w:line="240" w:lineRule="auto"/>
              <w:widowControl w:val="off"/>
              <w:tabs>
                <w:tab w:val="left" w:pos="37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highlight w:val="cy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Уведомление об отзыве Заявки должно быть подписано усиленной квалифицированной электронной подписью Участника.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cy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cyan"/>
                <w:lang w:eastAsia="ru-RU"/>
              </w:rPr>
            </w:r>
          </w:p>
        </w:tc>
      </w:tr>
    </w:tbl>
    <w:p>
      <w:pPr>
        <w:ind w:firstLine="709"/>
        <w:jc w:val="both"/>
        <w:spacing w:after="0" w:line="240" w:lineRule="auto"/>
        <w:widowControl w:val="off"/>
        <w:tabs>
          <w:tab w:val="left" w:pos="993" w:leader="none"/>
        </w:tabs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993" w:leader="none"/>
        </w:tabs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r>
    </w:p>
    <w:p>
      <w:pPr>
        <w:numPr>
          <w:ilvl w:val="0"/>
          <w:numId w:val="6"/>
        </w:numPr>
        <w:ind w:left="0" w:firstLine="0"/>
        <w:jc w:val="center"/>
        <w:spacing w:after="0" w:line="240" w:lineRule="auto"/>
        <w:tabs>
          <w:tab w:val="left" w:pos="426" w:leader="none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Форма, порядок и сроки предоставления участникам предварительного отбора разъяснений положений Документации о проведении предварительного отбора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ind w:firstLine="709"/>
        <w:jc w:val="center"/>
        <w:spacing w:after="0" w:line="240" w:lineRule="auto"/>
        <w:widowControl w:val="off"/>
        <w:tabs>
          <w:tab w:val="left" w:pos="99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tbl>
      <w:tblPr>
        <w:tblW w:w="4888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915"/>
        <w:gridCol w:w="5731"/>
      </w:tblGrid>
      <w:tr>
        <w:tblPrEx/>
        <w:trPr>
          <w:trHeight w:val="815"/>
          <w:tblHeader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Требования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Описание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4"/>
          <w:tblHeader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4"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Форма, порядок и сроки предоставления участникам предварительного отбора разъяснений положений Документации о проведении предварительного отбора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ind w:firstLine="235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Любое заинтересованное лицо в соответствии с регламентом 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аботы электронной площадки вправе направить в орган по ведению РКПО в виде электронного документа через оператора электронной площадки запрос о разъяснении Документации о проведении предварительного отбора (далее – запрос). Запрос рекомендуется направлять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 форме, установленной в 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риложении № 6 к Документации 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проведении предварительного отбора.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firstLine="235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 случае если запрос поступил в орган по ведению РКПО не позднее чем за 5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рабочих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дней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даты окончания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подачи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аявок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установленной 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извещении 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раздел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«Общие положения»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Документации о проведении пре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дварительного отбора, орган по ведению РКПО в течение 3 рабочих дней со дня поступления запроса обязан опубликовать на официальном сайте и сайте оператора электронной площадки разъяснения Документации о проведении предварительного отбора без указания лица,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от которого поступил запрос.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firstLine="235"/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Разъяснение указанной документации по предварительному отбору не должно изменять ее суть.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235"/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Указанные в пункте 34 Положения запросы, поступившие позднее чем за 5 рабочих дней до даты окончания срока подачи Заявок, не принимаются оператором электронной площадки.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235"/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ind w:firstLine="709"/>
        <w:jc w:val="both"/>
        <w:spacing w:after="0" w:line="240" w:lineRule="auto"/>
        <w:widowControl w:val="off"/>
        <w:tabs>
          <w:tab w:val="left" w:pos="993" w:leader="none"/>
        </w:tabs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r>
    </w:p>
    <w:p>
      <w:pPr>
        <w:numPr>
          <w:ilvl w:val="0"/>
          <w:numId w:val="6"/>
        </w:numPr>
        <w:ind w:left="0" w:firstLine="709"/>
        <w:jc w:val="center"/>
        <w:spacing w:after="0" w:line="240" w:lineRule="auto"/>
        <w:tabs>
          <w:tab w:val="left" w:pos="993" w:leader="none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Порядок рассмотрения заявок на участие в предварительном отборе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spacing w:after="0" w:line="240" w:lineRule="auto"/>
        <w:tabs>
          <w:tab w:val="left" w:pos="993" w:leader="none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tbl>
      <w:tblPr>
        <w:tblW w:w="4888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915"/>
        <w:gridCol w:w="5731"/>
      </w:tblGrid>
      <w:tr>
        <w:tblPrEx/>
        <w:trPr>
          <w:trHeight w:val="164"/>
          <w:tblHeader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Требования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Описание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4"/>
          <w:tblHeader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4"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31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Общие положения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ind w:firstLine="235"/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Поступившие от Участников Заявки рассматриваются комиссией по проведению предварительного отбора подрядных организаций (далее – комиссия по проведению предварительного отбора).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235"/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Комиссия по проведению предварительного отбора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отрение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Заяв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на соответствие требованиям,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установленным пунктом 30 Положения, ведет и оформляет необходимые протоколы по всем процедурам, проводимым в ходе осуществления предварительного отбора, рассматривает вопрос о включении (об отказе 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включении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участника предварительного отбора в реестр квалифицированных подрядных организаций и другие действия в соответствии с настоящим Положением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1"/>
              <w:ind w:firstLine="235"/>
              <w:jc w:val="both"/>
            </w:pPr>
            <w:r>
              <w:t xml:space="preserve">2. В период рассмотрения Заявок комиссия по проведению предварительного отбора:</w:t>
            </w:r>
            <w:r/>
          </w:p>
          <w:p>
            <w:pPr>
              <w:pStyle w:val="941"/>
              <w:ind w:firstLine="235"/>
              <w:jc w:val="both"/>
            </w:pPr>
            <w:r>
              <w:t xml:space="preserve">а) осуществляет проверку Заявок на соответствие установленным требованиям;</w:t>
            </w:r>
            <w:r/>
          </w:p>
          <w:p>
            <w:pPr>
              <w:pStyle w:val="941"/>
              <w:ind w:firstLine="235"/>
              <w:jc w:val="both"/>
            </w:pPr>
            <w:r>
              <w:t xml:space="preserve">б) проводит проверку Заявки</w:t>
            </w:r>
            <w:r>
              <w:t xml:space="preserve"> и входящих в ее состав документов на предмет объективности, достоверности, отсутствия противоречий, в том числе проводит такие проверки в срок,</w:t>
            </w:r>
            <w:r>
              <w:br/>
              <w:t xml:space="preserve">не превышающий 14 календарных дней, по заявлениям физических и (или) юридических лиц, поступившим в ее адрес или в адрес органа по ведению РКПО, о недостоверности информации, представленной Участником;</w:t>
            </w:r>
            <w:r/>
          </w:p>
          <w:p>
            <w:pPr>
              <w:pStyle w:val="941"/>
              <w:ind w:firstLine="235"/>
              <w:jc w:val="both"/>
            </w:pPr>
            <w:r>
              <w:t xml:space="preserve">в) принимает решения по результатам проводимых проверок в случае, если они проводятся в связи с поступившими за</w:t>
            </w:r>
            <w:r>
              <w:t xml:space="preserve">явлениями, указанными в подпункте «б» настоящего пункта. При этом такое решение должно быть принято комиссией по проведению предварительного отбора до заседания, на котором будет рассматриваться вопрос о включении (об отказе во включении) Участника в РКПО.</w:t>
            </w:r>
            <w:r/>
          </w:p>
          <w:p>
            <w:pPr>
              <w:pStyle w:val="941"/>
              <w:ind w:firstLine="235"/>
              <w:jc w:val="both"/>
            </w:pPr>
            <w:r>
              <w:t xml:space="preserve">3. На основании результатов рассмотрения Заявок комиссия по проведению предварительного отбора принимает одно из следующих решений:</w:t>
            </w:r>
            <w:r/>
          </w:p>
          <w:p>
            <w:pPr>
              <w:pStyle w:val="941"/>
              <w:ind w:firstLine="235"/>
              <w:jc w:val="both"/>
            </w:pPr>
            <w:r>
              <w:t xml:space="preserve">а) включение Участника в РКПО;</w:t>
            </w:r>
            <w:r/>
          </w:p>
          <w:p>
            <w:pPr>
              <w:pStyle w:val="941"/>
              <w:ind w:firstLine="235"/>
              <w:jc w:val="both"/>
            </w:pPr>
            <w:r>
              <w:t xml:space="preserve">б) отказ во включении Участника в РКПО</w:t>
            </w:r>
            <w:r>
              <w:t xml:space="preserve"> в случаях, указанных в пункте 53 Положения</w:t>
            </w:r>
            <w:r>
              <w:t xml:space="preserve">.</w:t>
            </w:r>
            <w:r/>
          </w:p>
          <w:p>
            <w:pPr>
              <w:pStyle w:val="941"/>
              <w:ind w:firstLine="235"/>
              <w:jc w:val="both"/>
            </w:pPr>
            <w:r>
              <w:t xml:space="preserve">4. Решение об отказе во включении Участника в РКПО принимается в следующих случаях:</w:t>
            </w:r>
            <w:r/>
          </w:p>
          <w:p>
            <w:pPr>
              <w:pStyle w:val="941"/>
              <w:ind w:firstLine="235"/>
              <w:jc w:val="both"/>
            </w:pPr>
            <w:r>
              <w:t xml:space="preserve">а) несоответствие Участника требованиям, установленным пунктом 23 Положения;</w:t>
            </w:r>
            <w:r/>
          </w:p>
          <w:p>
            <w:pPr>
              <w:pStyle w:val="941"/>
              <w:ind w:firstLine="235"/>
              <w:jc w:val="both"/>
            </w:pPr>
            <w:r>
              <w:t xml:space="preserve">б) Заявка не соответствует требованиям, установленным пунктом 38 Положения;</w:t>
            </w:r>
            <w:r/>
          </w:p>
          <w:p>
            <w:pPr>
              <w:pStyle w:val="941"/>
              <w:ind w:firstLine="235"/>
              <w:jc w:val="both"/>
            </w:pPr>
            <w:r>
              <w:t xml:space="preserve">в) установление факта представления Участником недостоверной информации (сведений, документов) в составе Заявки.</w:t>
            </w:r>
            <w:r/>
          </w:p>
          <w:p>
            <w:pPr>
              <w:pStyle w:val="941"/>
              <w:ind w:firstLine="235"/>
              <w:jc w:val="both"/>
            </w:pPr>
            <w:r>
              <w:t xml:space="preserve">5. В случае установления факта подачи одним Участником 2 и более Заявок при условии, что поданные ранее Заявки таким Участником не отозваны, все Заявки такого Участника не рассматриваются.</w:t>
            </w:r>
            <w:r/>
          </w:p>
          <w:p>
            <w:pPr>
              <w:pStyle w:val="941"/>
              <w:ind w:firstLine="235"/>
              <w:jc w:val="both"/>
            </w:pPr>
            <w:r>
              <w:t xml:space="preserve">6. Результаты рассмотрения Заявок и решение вопросов, указанных в </w:t>
            </w:r>
            <w:r>
              <w:t xml:space="preserve">под</w:t>
            </w:r>
            <w:r>
              <w:t xml:space="preserve">пунктах 2 и 3 настоящего </w:t>
            </w:r>
            <w:r>
              <w:t xml:space="preserve">пункта</w:t>
            </w:r>
            <w:r>
              <w:t xml:space="preserve">, оформляются протоколом комиссии по </w:t>
            </w:r>
            <w:r>
              <w:t xml:space="preserve">проведению предварительного отбора, который подписывается всеми членами комиссии, участвующими в заседании. Прот</w:t>
            </w:r>
            <w:r>
              <w:t xml:space="preserve">окол оформляется и размещается о</w:t>
            </w:r>
            <w:r>
              <w:t xml:space="preserve">рганом по ведению РКП</w:t>
            </w:r>
            <w:r>
              <w:t xml:space="preserve">О</w:t>
            </w:r>
            <w:r>
              <w:t xml:space="preserve"> на официальном сайте и сайте оператора электронной площадки в течение 2 рабочих дней со дня его подписания.</w:t>
            </w:r>
            <w:r/>
          </w:p>
          <w:p>
            <w:pPr>
              <w:pStyle w:val="941"/>
              <w:ind w:firstLine="235"/>
              <w:jc w:val="both"/>
            </w:pPr>
            <w:r>
              <w:t xml:space="preserve">7. В протоколе указывается информация о месте, дате и времени рассмотрения </w:t>
            </w:r>
            <w:r>
              <w:t xml:space="preserve">З</w:t>
            </w:r>
            <w:r>
              <w:t xml:space="preserve">аявок, номер предварительного отбора, наименование (для юридического лица), </w:t>
            </w:r>
            <w:r>
              <w:t xml:space="preserve">адрес электронной площадки в сети </w:t>
            </w:r>
            <w:r>
              <w:t xml:space="preserve">«</w:t>
            </w:r>
            <w:r>
              <w:t xml:space="preserve">Интернет</w:t>
            </w:r>
            <w:r>
              <w:t xml:space="preserve">»</w:t>
            </w:r>
            <w:r>
              <w:t xml:space="preserve">, на которой проводится предварительный отбор</w:t>
            </w:r>
            <w:r>
              <w:t xml:space="preserve">, фамилия, имя, отчество (при наличии) (для физического лица, зарегистрированного в качестве индивидуального предпринимателя), адрес юридического лица и электронный адрес, идентификационный номер налогоплательщика каждого </w:t>
            </w:r>
            <w:r>
              <w:t xml:space="preserve">Участника</w:t>
            </w:r>
            <w:r>
              <w:t xml:space="preserve">, наличие информации</w:t>
            </w:r>
            <w:r>
              <w:t xml:space="preserve"> и документов, </w:t>
            </w:r>
            <w:r>
              <w:t xml:space="preserve">предусмотренных Д</w:t>
            </w:r>
            <w:r>
              <w:t xml:space="preserve">окументацией о проведении предварительного отбора, состав членов комисс</w:t>
            </w:r>
            <w:r>
              <w:t xml:space="preserve">ии, участвующих в рассмотрении З</w:t>
            </w:r>
            <w:r>
              <w:t xml:space="preserve">аявок, принятые решения. При принятии комиссией по</w:t>
            </w:r>
            <w:r>
              <w:t xml:space="preserve"> проведению предварительного отбора</w:t>
            </w:r>
            <w:r>
              <w:t xml:space="preserve"> </w:t>
            </w:r>
            <w:r>
              <w:t xml:space="preserve">решения об отказе во включении У</w:t>
            </w:r>
            <w:r>
              <w:t xml:space="preserve">частника в </w:t>
            </w:r>
            <w:r>
              <w:t xml:space="preserve">РКПО</w:t>
            </w:r>
            <w:r>
              <w:t xml:space="preserve"> в протоколе указывается обоснование такого решения со ссылками на нормы Положения, которым не соответствует </w:t>
            </w:r>
            <w:r>
              <w:t xml:space="preserve">У</w:t>
            </w:r>
            <w:r>
              <w:t xml:space="preserve">частник</w:t>
            </w:r>
            <w:r>
              <w:t xml:space="preserve">, на положения Д</w:t>
            </w:r>
            <w:r>
              <w:t xml:space="preserve">окументации о проведении предварительного от</w:t>
            </w:r>
            <w:r>
              <w:t xml:space="preserve">бора, которым не соответствует Заявка этого У</w:t>
            </w:r>
            <w:r>
              <w:t xml:space="preserve">частника, на документы, подтверждающие такое несоответствие.</w:t>
            </w:r>
            <w:r/>
          </w:p>
          <w:p>
            <w:pPr>
              <w:pStyle w:val="941"/>
              <w:ind w:firstLine="235"/>
              <w:jc w:val="both"/>
            </w:pPr>
            <w:r>
              <w:t xml:space="preserve">8.</w:t>
            </w:r>
            <w:r>
              <w:t xml:space="preserve"> При принятии комиссией по проведению предварительн</w:t>
            </w:r>
            <w:r>
              <w:t xml:space="preserve">ого отбора решения о включении У</w:t>
            </w:r>
            <w:r>
              <w:t xml:space="preserve">частника в </w:t>
            </w:r>
            <w:r>
              <w:t xml:space="preserve">РКПО</w:t>
            </w:r>
            <w:r>
              <w:t xml:space="preserve"> в протоколе указывается </w:t>
            </w:r>
            <w:r>
              <w:t xml:space="preserve">предельный размер обязательств </w:t>
            </w:r>
            <w:r>
              <w:t xml:space="preserve">У</w:t>
            </w:r>
            <w:r>
              <w:t xml:space="preserve">частника по обязательствам по договорам подряда на подготовку проектной документации, по договорам строительного подряда, заключаемым с использованием конкурентных способов заключения договоров, в соответствии с которым такой участ</w:t>
            </w:r>
            <w:r>
              <w:t xml:space="preserve">ник предварительного отбора, как член соответствующей саморегулируемой организации, внес взнос в компенсационный фонд обеспечения договорных обязательств, сформированный в соответствии с частью 2 статьи 55.16 Градостроительного кодекса Российской Федерации</w:t>
            </w:r>
            <w:r>
              <w:t xml:space="preserve">.</w:t>
            </w:r>
            <w:r/>
          </w:p>
          <w:p>
            <w:pPr>
              <w:ind w:firstLine="235"/>
              <w:jc w:val="both"/>
              <w:spacing w:after="0" w:line="240" w:lineRule="auto"/>
              <w:widowControl w:val="off"/>
              <w:tabs>
                <w:tab w:val="left" w:pos="37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highlight w:val="cy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Орган по ведению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РКПО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обязан осуществлять аудио- и (или) видеозаписи всех заседаний комиссии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 проведению предварительного отбора. Любой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частник и (или) его представитель вправе участвовать в заседаниях комиссии и осуществлять аудио- и (или) видеозаписи заседания комиссии.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cy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cyan"/>
                <w:lang w:eastAsia="ru-RU"/>
              </w:rPr>
            </w:r>
          </w:p>
        </w:tc>
      </w:tr>
      <w:tr>
        <w:tblPrEx/>
        <w:trPr>
          <w:trHeight w:val="164"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31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Принятие решения о признании предварительного отбора несостоявшимся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ind w:firstLine="23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В случае если после окончания срока подачи Заявок подана единственная Заявка или не подано ни одной такой заявки, предварительный отбор признается несостоявшимся.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ind w:firstLine="23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В случае если предварительный отбор признан несостоявшимся в связи с подачей единственной Заявки и Участник, подавший такую Заявку, соответствует требованиям, установленным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пунктом 23 Положения, то он включается в РКПО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ind w:firstLine="23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 В случае если предварительный отбор признан несостоя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вшимся на основании отсутствия 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аявок, орган по ведению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РКПО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вправе объявить процедуру предварительного отбора повторно.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ind w:firstLine="540"/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если по результатам рассмотрения комиссией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проведению предварительного отбора Заявок, поданных Участниками до даты окончания срока подачи Заявок, принято решение о невключении в РКПО всех Участников или о включении в РКПО только одного Участника, предварительный отбор признается несостоявшимся.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23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cyan"/>
              </w:rPr>
            </w:r>
          </w:p>
        </w:tc>
      </w:tr>
    </w:tbl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highlight w:val="cy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cyan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cyan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cyan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highlight w:val="cy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cyan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cyan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cyan"/>
          <w:lang w:eastAsia="ru-RU"/>
        </w:rPr>
      </w:r>
    </w:p>
    <w:p>
      <w:pPr>
        <w:rPr>
          <w:rFonts w:ascii="Times New Roman" w:hAnsi="Times New Roman" w:eastAsia="Calibri" w:cs="Times New Roman"/>
          <w:sz w:val="24"/>
          <w:szCs w:val="24"/>
          <w:highlight w:val="cyan"/>
        </w:rPr>
      </w:pP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Приложение № 1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584"/>
        <w:spacing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ЗАЯВКА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НА УЧАСТИЕ В ПРЕДВАРИТЕЛЬНОМ ОТБОРЕ ПОДРЯДНЫХ ОРГАНИЗАЦИЙ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ПО ИЗВЕЩЕНИЮ № _______________ ОТ __________________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ind w:left="584"/>
        <w:spacing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584"/>
        <w:jc w:val="right"/>
        <w:spacing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  <w:u w:val="single"/>
        </w:rPr>
        <w:t xml:space="preserve">«</w:t>
      </w:r>
      <w:r>
        <w:rPr>
          <w:rFonts w:ascii="Times New Roman" w:hAnsi="Times New Roman" w:eastAsia="Calibri" w:cs="Times New Roman"/>
          <w:sz w:val="24"/>
          <w:szCs w:val="24"/>
          <w:u w:val="single"/>
        </w:rPr>
        <w:tab/>
        <w:t xml:space="preserve">      »</w:t>
      </w:r>
      <w:r>
        <w:rPr>
          <w:rFonts w:ascii="Times New Roman" w:hAnsi="Times New Roman" w:eastAsia="Calibri" w:cs="Times New Roman"/>
          <w:sz w:val="24"/>
          <w:szCs w:val="24"/>
        </w:rPr>
        <w:t xml:space="preserve"> ______________ 2</w:t>
      </w:r>
      <w:r>
        <w:rPr>
          <w:rFonts w:ascii="Times New Roman" w:hAnsi="Times New Roman" w:eastAsia="Calibri" w:cs="Times New Roman"/>
          <w:sz w:val="24"/>
          <w:szCs w:val="24"/>
        </w:rPr>
        <w:t xml:space="preserve">0</w:t>
      </w:r>
      <w:r>
        <w:rPr>
          <w:rFonts w:ascii="Times New Roman" w:hAnsi="Times New Roman" w:eastAsia="Calibri" w:cs="Times New Roman"/>
          <w:sz w:val="24"/>
          <w:szCs w:val="24"/>
        </w:rPr>
        <w:t xml:space="preserve">___ года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Изучив условия Извещения о проведении предварительного отбора подрядных организаций № __________ от __________, и принимая установленные в </w:t>
      </w:r>
      <w:r>
        <w:rPr>
          <w:rFonts w:ascii="Times New Roman" w:hAnsi="Times New Roman" w:eastAsia="Calibri" w:cs="Times New Roman"/>
          <w:sz w:val="24"/>
          <w:szCs w:val="24"/>
        </w:rPr>
        <w:t xml:space="preserve">нем требования и условия, </w:t>
      </w:r>
      <w:r>
        <w:rPr>
          <w:rFonts w:ascii="Times New Roman" w:hAnsi="Times New Roman" w:eastAsia="Calibri" w:cs="Times New Roman"/>
          <w:i/>
          <w:sz w:val="24"/>
          <w:szCs w:val="24"/>
          <w:u w:val="single"/>
        </w:rPr>
        <w:t xml:space="preserve">          (указывается полное наименование, организационно правовая форма участника предварительного отбора или ФИО индивидуального предпринимателя)</w:t>
      </w:r>
      <w:r>
        <w:rPr>
          <w:rFonts w:ascii="Times New Roman" w:hAnsi="Times New Roman" w:eastAsia="Calibri" w:cs="Times New Roman"/>
          <w:sz w:val="24"/>
          <w:szCs w:val="24"/>
          <w:u w:val="single"/>
        </w:rPr>
        <w:t xml:space="preserve">     </w:t>
      </w:r>
      <w:r>
        <w:rPr>
          <w:rFonts w:ascii="Times New Roman" w:hAnsi="Times New Roman" w:eastAsia="Calibri" w:cs="Times New Roman"/>
          <w:sz w:val="24"/>
          <w:szCs w:val="24"/>
        </w:rPr>
        <w:t xml:space="preserve"> в лице </w:t>
      </w:r>
      <w:r>
        <w:rPr>
          <w:rFonts w:ascii="Times New Roman" w:hAnsi="Times New Roman" w:eastAsia="Calibri" w:cs="Times New Roman"/>
          <w:i/>
          <w:sz w:val="24"/>
          <w:szCs w:val="24"/>
          <w:u w:val="single"/>
        </w:rPr>
        <w:t xml:space="preserve">           </w:t>
      </w:r>
      <w:r>
        <w:rPr>
          <w:rFonts w:ascii="Times New Roman" w:hAnsi="Times New Roman" w:eastAsia="Calibri" w:cs="Times New Roman"/>
          <w:i/>
          <w:sz w:val="24"/>
          <w:szCs w:val="24"/>
          <w:u w:val="single"/>
        </w:rPr>
        <w:t xml:space="preserve">  (указывается фамилия, имя, отчество (при наличии) представителя участника предварительного отбора – юридического лица), действующего на основании (указывается документ, на основании которого действует представитель юридического лица или физического лица)</w:t>
      </w:r>
      <w:r>
        <w:rPr>
          <w:rFonts w:ascii="Times New Roman" w:hAnsi="Times New Roman" w:eastAsia="Calibri" w:cs="Times New Roman"/>
          <w:sz w:val="24"/>
          <w:szCs w:val="24"/>
        </w:rPr>
        <w:t xml:space="preserve"> просит рассмотреть заявку на участие в предварительном отборе подрядных организаций по </w:t>
      </w:r>
      <w:r>
        <w:rPr>
          <w:rFonts w:ascii="Times New Roman" w:hAnsi="Times New Roman" w:eastAsia="Calibri" w:cs="Times New Roman"/>
          <w:sz w:val="24"/>
          <w:szCs w:val="24"/>
        </w:rPr>
        <w:t xml:space="preserve">следующему </w:t>
      </w:r>
      <w:r>
        <w:rPr>
          <w:rFonts w:ascii="Times New Roman" w:hAnsi="Times New Roman" w:eastAsia="Calibri" w:cs="Times New Roman"/>
          <w:sz w:val="24"/>
          <w:szCs w:val="24"/>
        </w:rPr>
        <w:t xml:space="preserve">предмету электронного аукциона</w:t>
      </w:r>
      <w:r>
        <w:rPr>
          <w:rFonts w:ascii="Times New Roman" w:hAnsi="Times New Roman" w:eastAsia="Calibri" w:cs="Times New Roman"/>
          <w:sz w:val="24"/>
          <w:szCs w:val="24"/>
        </w:rPr>
        <w:t xml:space="preserve">: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i/>
          <w:sz w:val="24"/>
          <w:szCs w:val="24"/>
          <w:u w:val="single"/>
        </w:rPr>
        <w:t xml:space="preserve">(указывается предмет предварительного отбора) 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Документация о проведении предварительного отбора изучена в полном объеме и признана полной и достаточной для подготовки настоящей Заявки.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Настоящим гарантируем достоверность представленной информации и подтверждаем право </w:t>
      </w:r>
      <w:r>
        <w:rPr>
          <w:rFonts w:ascii="Times New Roman" w:hAnsi="Times New Roman" w:eastAsia="Calibri" w:cs="Times New Roman"/>
          <w:i/>
          <w:sz w:val="24"/>
          <w:szCs w:val="24"/>
          <w:u w:val="single"/>
        </w:rPr>
        <w:t xml:space="preserve">Министерства </w:t>
      </w:r>
      <w:r>
        <w:rPr>
          <w:rFonts w:ascii="Times New Roman" w:hAnsi="Times New Roman" w:eastAsia="Calibri" w:cs="Times New Roman"/>
          <w:i/>
          <w:sz w:val="24"/>
          <w:szCs w:val="24"/>
          <w:u w:val="single"/>
        </w:rPr>
        <w:t xml:space="preserve">жилищно-коммунального хозяйства, энергетики, цифровизации и связи</w:t>
      </w:r>
      <w:r>
        <w:rPr>
          <w:rFonts w:ascii="Times New Roman" w:hAnsi="Times New Roman" w:eastAsia="Calibri" w:cs="Times New Roman"/>
          <w:i/>
          <w:sz w:val="24"/>
          <w:szCs w:val="24"/>
          <w:u w:val="single"/>
        </w:rPr>
        <w:t xml:space="preserve"> Забайкальского края </w:t>
      </w:r>
      <w:r>
        <w:rPr>
          <w:rFonts w:ascii="Times New Roman" w:hAnsi="Times New Roman" w:eastAsia="Calibri" w:cs="Times New Roman"/>
          <w:sz w:val="24"/>
          <w:szCs w:val="24"/>
        </w:rPr>
        <w:t xml:space="preserve">получать в открытых информационных источниках, в уполномоченных органах власти информацию, уточняющую представленные нами в заявке сведения.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Сообщаем о себе следующие сведения: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709"/>
        <w:jc w:val="both"/>
        <w:spacing w:after="0" w:line="240" w:lineRule="auto"/>
        <w:rPr>
          <w:rFonts w:ascii="Times New Roman" w:hAnsi="Times New Roman" w:eastAsia="Calibri" w:cs="Times New Roman"/>
          <w:i/>
          <w:sz w:val="24"/>
          <w:szCs w:val="24"/>
        </w:rPr>
      </w:pP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</w:p>
    <w:p>
      <w:pPr>
        <w:ind w:left="709"/>
        <w:jc w:val="both"/>
        <w:spacing w:after="0" w:line="240" w:lineRule="auto"/>
        <w:rPr>
          <w:rFonts w:ascii="Times New Roman" w:hAnsi="Times New Roman" w:eastAsia="Calibri" w:cs="Times New Roman"/>
          <w:i/>
          <w:sz w:val="24"/>
          <w:szCs w:val="24"/>
        </w:rPr>
      </w:pPr>
      <w:r>
        <w:rPr>
          <w:rFonts w:ascii="Times New Roman" w:hAnsi="Times New Roman" w:eastAsia="Calibri" w:cs="Times New Roman"/>
          <w:i/>
          <w:sz w:val="24"/>
          <w:szCs w:val="24"/>
        </w:rPr>
        <w:t xml:space="preserve">а) для юридического лица:</w:t>
      </w: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</w:p>
    <w:tbl>
      <w:tblPr>
        <w:tblStyle w:val="929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>
        <w:tblPrEx/>
        <w:trPr/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Полное наименование юридического лица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Сведения об организационно-правовой форме юридического лица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Место нахождения юридического лица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Адрес юридического лица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Идентификационный номер налогоплательщика (при наличии) учредителей (ФИО учредителей / ИНН)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а) _____________/ИНН________________,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б) _____________/ИНН _______________,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в) _____________/ИНН _______________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Идентификационный номер налогоплательщика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членов коллегиального исполнительного органа (ФИО членов коллегиального исполнительного органа / ИНН)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а) _____________/ИНН________________,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б) _____________/ИНН _______________,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в) _____________/ИНН _______________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Идентификационный номер налогоплательщика лица, исполняющего функции единоличного исполнительного органа участника (ФИО такого лица / ИНН)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_______________/ИНН ________________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ФИО лица, уполномоченного на осуществление действий от имени участника предварительного отбора и на подачу заявки / ИНН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_______________/ИНН ________________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Телефон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Адрес электронной почты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i/>
          <w:sz w:val="24"/>
          <w:szCs w:val="24"/>
        </w:rPr>
      </w:pP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i/>
          <w:sz w:val="24"/>
          <w:szCs w:val="24"/>
        </w:rPr>
      </w:pPr>
      <w:r>
        <w:rPr>
          <w:rFonts w:ascii="Times New Roman" w:hAnsi="Times New Roman" w:eastAsia="Calibri" w:cs="Times New Roman"/>
          <w:i/>
          <w:sz w:val="24"/>
          <w:szCs w:val="24"/>
        </w:rPr>
        <w:t xml:space="preserve">б) для физического лица, зарегистрированного в качестве индивидуального предпринимателя:</w:t>
      </w: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</w:p>
    <w:tbl>
      <w:tblPr>
        <w:tblStyle w:val="929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>
        <w:tblPrEx/>
        <w:trPr>
          <w:trHeight w:val="397"/>
        </w:trPr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Фамилия, имя отчество (при наличии)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397"/>
        </w:trPr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Паспортные данные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397"/>
        </w:trPr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Сведения о месте жительства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397"/>
        </w:trPr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Номер контактного телефона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397"/>
        </w:trPr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Адрес электронной почты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(при наличии)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</w:tbl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Настоящим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          (указывается полное наименование и организационно-правовая форма юридического лица или Фамилия Имя Отчество (при наличии отчества) для индивидуального предпринимателя)       </w:t>
      </w:r>
      <w:r>
        <w:rPr>
          <w:rFonts w:ascii="Times New Roman" w:hAnsi="Times New Roman" w:cs="Times New Roman"/>
          <w:sz w:val="24"/>
          <w:szCs w:val="24"/>
        </w:rPr>
        <w:t xml:space="preserve"> подтверждает соответствие требованиям, установленным в Документации о проведении предварительного отбора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К настоящей заявке на участие в предварительном отборе прилагаются документы, являющиеся неотъемлемой частью заявки </w:t>
      </w:r>
      <w:r>
        <w:rPr>
          <w:rFonts w:ascii="Times New Roman" w:hAnsi="Times New Roman" w:eastAsia="Calibri" w:cs="Times New Roman"/>
          <w:i/>
          <w:sz w:val="24"/>
          <w:szCs w:val="24"/>
          <w:u w:val="single"/>
        </w:rPr>
        <w:t xml:space="preserve">       (указывается наименование участника предварительного отбора)         </w:t>
      </w:r>
      <w:r>
        <w:rPr>
          <w:rFonts w:ascii="Times New Roman" w:hAnsi="Times New Roman" w:eastAsia="Calibri" w:cs="Times New Roman"/>
          <w:sz w:val="24"/>
          <w:szCs w:val="24"/>
        </w:rPr>
        <w:t xml:space="preserve"> на участие в предварительном отборе.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Опись прилагаемых документов: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tbl>
      <w:tblPr>
        <w:tblStyle w:val="929"/>
        <w:tblW w:w="0" w:type="auto"/>
        <w:tblInd w:w="108" w:type="dxa"/>
        <w:tblLook w:val="04A0" w:firstRow="1" w:lastRow="0" w:firstColumn="1" w:lastColumn="0" w:noHBand="0" w:noVBand="1"/>
      </w:tblPr>
      <w:tblGrid>
        <w:gridCol w:w="516"/>
        <w:gridCol w:w="7295"/>
        <w:gridCol w:w="1545"/>
      </w:tblGrid>
      <w:tr>
        <w:tblPrEx/>
        <w:trPr/>
        <w:tc>
          <w:tcPr>
            <w:tcW w:w="516" w:type="dxa"/>
            <w:textDirection w:val="lrTb"/>
            <w:noWrap w:val="false"/>
          </w:tcPr>
          <w:p>
            <w:pPr>
              <w:jc w:val="both"/>
              <w:tabs>
                <w:tab w:val="left" w:pos="1134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7295" w:type="dxa"/>
            <w:textDirection w:val="lrTb"/>
            <w:noWrap w:val="false"/>
          </w:tcPr>
          <w:p>
            <w:pPr>
              <w:ind w:left="-57"/>
              <w:jc w:val="both"/>
              <w:tabs>
                <w:tab w:val="left" w:pos="1134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545" w:type="dxa"/>
            <w:vAlign w:val="bottom"/>
            <w:textDirection w:val="lrTb"/>
            <w:noWrap w:val="false"/>
          </w:tcPr>
          <w:p>
            <w:pPr>
              <w:tabs>
                <w:tab w:val="left" w:pos="1134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на ____ л.;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16" w:type="dxa"/>
            <w:textDirection w:val="lrTb"/>
            <w:noWrap w:val="false"/>
          </w:tcPr>
          <w:p>
            <w:pPr>
              <w:jc w:val="both"/>
              <w:tabs>
                <w:tab w:val="left" w:pos="1134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7295" w:type="dxa"/>
            <w:textDirection w:val="lrTb"/>
            <w:noWrap w:val="false"/>
          </w:tcPr>
          <w:p>
            <w:pPr>
              <w:ind w:left="-57"/>
              <w:jc w:val="both"/>
              <w:tabs>
                <w:tab w:val="left" w:pos="1134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545" w:type="dxa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на ____ л.;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16" w:type="dxa"/>
            <w:textDirection w:val="lrTb"/>
            <w:noWrap w:val="false"/>
          </w:tcPr>
          <w:p>
            <w:pPr>
              <w:jc w:val="both"/>
              <w:tabs>
                <w:tab w:val="left" w:pos="1134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7295" w:type="dxa"/>
            <w:textDirection w:val="lrTb"/>
            <w:noWrap w:val="false"/>
          </w:tcPr>
          <w:p>
            <w:pPr>
              <w:ind w:left="-57"/>
              <w:jc w:val="both"/>
              <w:tabs>
                <w:tab w:val="left" w:pos="1134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545" w:type="dxa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на ____ л.;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16" w:type="dxa"/>
            <w:textDirection w:val="lrTb"/>
            <w:noWrap w:val="false"/>
          </w:tcPr>
          <w:p>
            <w:pPr>
              <w:jc w:val="both"/>
              <w:tabs>
                <w:tab w:val="left" w:pos="1134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7295" w:type="dxa"/>
            <w:textDirection w:val="lrTb"/>
            <w:noWrap w:val="false"/>
          </w:tcPr>
          <w:p>
            <w:pPr>
              <w:ind w:left="-57"/>
              <w:jc w:val="both"/>
              <w:tabs>
                <w:tab w:val="left" w:pos="1134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545" w:type="dxa"/>
            <w:textDirection w:val="lrTb"/>
            <w:noWrap w:val="false"/>
          </w:tcPr>
          <w:p>
            <w:pPr>
              <w:tabs>
                <w:tab w:val="left" w:pos="1134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на ____ л.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</w:tbl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Участник предварительного отбора                                                                Ф.И.О.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(</w:t>
      </w:r>
      <w:r>
        <w:rPr>
          <w:rFonts w:ascii="Times New Roman" w:hAnsi="Times New Roman" w:eastAsia="Calibri" w:cs="Times New Roman"/>
          <w:i/>
          <w:sz w:val="24"/>
          <w:szCs w:val="24"/>
        </w:rPr>
        <w:t xml:space="preserve">уполномоченный представитель</w:t>
      </w:r>
      <w:r>
        <w:rPr>
          <w:rFonts w:ascii="Times New Roman" w:hAnsi="Times New Roman" w:eastAsia="Calibri" w:cs="Times New Roman"/>
          <w:sz w:val="24"/>
          <w:szCs w:val="24"/>
        </w:rPr>
        <w:t xml:space="preserve">)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i/>
          <w:sz w:val="24"/>
          <w:szCs w:val="24"/>
        </w:rPr>
      </w:pP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i/>
          <w:sz w:val="24"/>
          <w:szCs w:val="24"/>
        </w:rPr>
      </w:pPr>
      <w:r>
        <w:rPr>
          <w:rFonts w:ascii="Times New Roman" w:hAnsi="Times New Roman" w:eastAsia="Calibri" w:cs="Times New Roman"/>
          <w:i/>
          <w:sz w:val="24"/>
          <w:szCs w:val="24"/>
        </w:rPr>
        <w:t xml:space="preserve">          М.П.</w:t>
      </w:r>
      <w:r>
        <w:rPr>
          <w:rFonts w:ascii="Times New Roman" w:hAnsi="Times New Roman" w:eastAsia="Calibri" w:cs="Times New Roman"/>
          <w:sz w:val="24"/>
          <w:szCs w:val="24"/>
        </w:rPr>
        <w:br w:type="page" w:clear="all"/>
      </w: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</w:p>
    <w:p>
      <w:pPr>
        <w:ind w:left="5812"/>
        <w:jc w:val="right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Приложение № 2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5529"/>
        <w:jc w:val="right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ТРЕБОВАНИЯ К МИНИМАЛЬНОМУ КОЛИЧЕСТВУ КВАЛИФИЦИРОВАННОГО ПЕРСОН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АЛА, ВХОДЯЩЕГО В ШТАТ УЧАСТНИКА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Участником </w:t>
      </w:r>
      <w:r>
        <w:rPr>
          <w:rFonts w:ascii="Times New Roman" w:hAnsi="Times New Roman" w:cs="Times New Roman"/>
          <w:sz w:val="24"/>
          <w:szCs w:val="24"/>
        </w:rPr>
        <w:t xml:space="preserve">предварительного отбора должны быть соблюдены следующие требования к минимальному количеству квалифицированного персонала, входящего в штат Участника: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квалификационные требования к индивидуальным предпринимателям, а также руков</w:t>
      </w:r>
      <w:r>
        <w:rPr>
          <w:rFonts w:ascii="Times New Roman" w:hAnsi="Times New Roman" w:cs="Times New Roman"/>
          <w:sz w:val="24"/>
          <w:szCs w:val="24"/>
        </w:rPr>
        <w:t xml:space="preserve">одителям юридического лица, самостоятельно организующим строительство, реконструкцию, капитальный ремонт, снос объектов капитального строительства, - наличие высшего образования соответствующего профиля и стажа работы по специальности не менее чем пять лет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hAnsi="Times New Roman" w:cs="Times New Roman"/>
          <w:sz w:val="24"/>
          <w:szCs w:val="24"/>
        </w:rPr>
        <w:t xml:space="preserve">требования к наличию у индивидуального предпринимателя или юридического лица специалистов по организации строительства (главных инженеров проектов), трудовая функция </w:t>
      </w:r>
      <w:r>
        <w:rPr>
          <w:rFonts w:ascii="Times New Roman" w:hAnsi="Times New Roman" w:cs="Times New Roman"/>
          <w:sz w:val="24"/>
          <w:szCs w:val="24"/>
        </w:rPr>
        <w:t xml:space="preserve">которых включает соответственно организацию выполнения работ по строительству, реконструкции, капитальному ремонту, сносу объектов капитального строительства и сведения о которых включены в национальные реестры специалистов, предусмотренные статьей 55.5-1 </w:t>
      </w:r>
      <w:r>
        <w:rPr>
          <w:rFonts w:ascii="Times New Roman" w:hAnsi="Times New Roman" w:cs="Times New Roman"/>
          <w:sz w:val="24"/>
          <w:szCs w:val="24"/>
        </w:rPr>
        <w:t xml:space="preserve">Градостроительного к</w:t>
      </w:r>
      <w:r>
        <w:rPr>
          <w:rFonts w:ascii="Times New Roman" w:hAnsi="Times New Roman" w:cs="Times New Roman"/>
          <w:sz w:val="24"/>
          <w:szCs w:val="24"/>
        </w:rPr>
        <w:t xml:space="preserve">одекса </w:t>
      </w:r>
      <w:r>
        <w:rPr>
          <w:rFonts w:ascii="Times New Roman" w:hAnsi="Times New Roman" w:cs="Times New Roman"/>
          <w:sz w:val="24"/>
          <w:szCs w:val="24"/>
        </w:rPr>
        <w:t xml:space="preserve">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, - не менее чем два специалиста по месту основной работы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СПРАВОЧНО (в соответствии со статьей 55.5-1 Градостроительного кодекса Российской Федерации)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 Специалистом по организации строительства является физическое лицо, которое имеет право осуществлять по трудовому договору, заключенному</w:t>
      </w:r>
      <w:r>
        <w:rPr>
          <w:rFonts w:ascii="Times New Roman" w:hAnsi="Times New Roman" w:cs="Times New Roman"/>
          <w:sz w:val="24"/>
          <w:szCs w:val="24"/>
        </w:rPr>
        <w:t xml:space="preserve"> с индивидуальным предпринимателем или юридическим лицом, трудовые функции по организации выполнения работ по строительству, реконструкции, капитальному ремонту, сносу объектов капитального строительства, в том числе в должности главного инженера проекта.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должностным обязанностям специалистов по организации строительства в том числе относятся: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приемка объектов капитального</w:t>
      </w:r>
      <w:r>
        <w:rPr>
          <w:rFonts w:ascii="Times New Roman" w:hAnsi="Times New Roman" w:cs="Times New Roman"/>
          <w:sz w:val="24"/>
          <w:szCs w:val="24"/>
        </w:rPr>
        <w:t xml:space="preserve"> строительства, частей объектов капитального строительства, этапов строительства, реконструкции объектов капитального строительства, приемка выполненных работ по строительству, реконструкции, капитальному ремонту, сносу объектов капитального строительства;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подписание следующих документов: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акта приемки объекта капитального строительства;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акта, подтверждающего соответствие параметров постр</w:t>
      </w:r>
      <w:r>
        <w:rPr>
          <w:rFonts w:ascii="Times New Roman" w:hAnsi="Times New Roman" w:cs="Times New Roman"/>
          <w:sz w:val="24"/>
          <w:szCs w:val="24"/>
        </w:rPr>
        <w:t xml:space="preserve">оенного, реконструированного объекта капитального строительства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акта о подключении (технол</w:t>
      </w:r>
      <w:r>
        <w:rPr>
          <w:rFonts w:ascii="Times New Roman" w:hAnsi="Times New Roman" w:cs="Times New Roman"/>
          <w:sz w:val="24"/>
          <w:szCs w:val="24"/>
        </w:rPr>
        <w:t xml:space="preserve">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 физическом лице включаются в национальный реестр специалистов в области строительства Национальным объединением саморегулируемых организаций, основанных на членстве лиц, осуществляющих строительство.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 физическом лице включаются в национальные реестры специалистов на основании заявления такого лица при условии его соответствия следующим минимальным требованиям: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наличие высшего образования по специальности или направлению подготовки в области строительства;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наличие стажа работы на инженерных</w:t>
      </w:r>
      <w:r>
        <w:rPr>
          <w:rFonts w:ascii="Times New Roman" w:hAnsi="Times New Roman" w:cs="Times New Roman"/>
          <w:sz w:val="24"/>
          <w:szCs w:val="24"/>
        </w:rPr>
        <w:t xml:space="preserve"> должностях не менее чем три года в организациях, выполняющих инженерные изыскания, осуществляющих подготовку проектной документации, в организациях, осуществляющих строительство, реконструкцию, капитальный ремонт, снос объектов капитального строительства;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наличие общего трудового стажа по профессии, специальности или направлению подготовки в области строительства не менее чем десять лет или не менее чем пять лет при прохождении в соответствии с Федеральным законом</w:t>
      </w:r>
      <w:r>
        <w:rPr>
          <w:rFonts w:ascii="Times New Roman" w:hAnsi="Times New Roman" w:cs="Times New Roman"/>
          <w:sz w:val="24"/>
          <w:szCs w:val="24"/>
        </w:rPr>
        <w:t xml:space="preserve"> от 3 июля 2016 года № 238-ФЗ «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 xml:space="preserve">независимой оценке квалификации»</w:t>
      </w:r>
      <w:r>
        <w:rPr>
          <w:rFonts w:ascii="Times New Roman" w:hAnsi="Times New Roman" w:cs="Times New Roman"/>
          <w:sz w:val="24"/>
          <w:szCs w:val="24"/>
        </w:rPr>
        <w:t xml:space="preserve"> независимой оценки квалификации физического лица, претендующ</w:t>
      </w:r>
      <w:r>
        <w:rPr>
          <w:rFonts w:ascii="Times New Roman" w:hAnsi="Times New Roman" w:cs="Times New Roman"/>
          <w:sz w:val="24"/>
          <w:szCs w:val="24"/>
        </w:rPr>
        <w:t xml:space="preserve">его на осуществление профессиональной деятельности по организации выполнения работ по инженерным изысканиям, подготовке проектной документации, работ по строительству, реконструкции, капитальному ремонту, сносу объекта капитального строительства, на соотве</w:t>
      </w:r>
      <w:r>
        <w:rPr>
          <w:rFonts w:ascii="Times New Roman" w:hAnsi="Times New Roman" w:cs="Times New Roman"/>
          <w:sz w:val="24"/>
          <w:szCs w:val="24"/>
        </w:rPr>
        <w:t xml:space="preserve">тствие положениям профессионального стандарта, устанавливающего характеристики квалификации, необходимой работнику для осуществления указанного вида профессиональной деятельности, выполнения трудовых функций, должностных обязанностей, установленных статьей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55.5-1 Градостроительного кодекса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не реже одного раза в пять лет прохождение в соответствии с Федеральным законом </w:t>
      </w:r>
      <w:r>
        <w:rPr>
          <w:rFonts w:ascii="Times New Roman" w:hAnsi="Times New Roman" w:cs="Times New Roman"/>
          <w:sz w:val="24"/>
          <w:szCs w:val="24"/>
        </w:rPr>
        <w:t xml:space="preserve">от 3 июля 2016 года № 238-ФЗ «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 xml:space="preserve">независимой оценке квалификации»</w:t>
      </w:r>
      <w:r>
        <w:rPr>
          <w:rFonts w:ascii="Times New Roman" w:hAnsi="Times New Roman" w:cs="Times New Roman"/>
          <w:sz w:val="24"/>
          <w:szCs w:val="24"/>
        </w:rPr>
        <w:t xml:space="preserve"> независимой оценки квалификации физического лица, претендующ</w:t>
      </w:r>
      <w:r>
        <w:rPr>
          <w:rFonts w:ascii="Times New Roman" w:hAnsi="Times New Roman" w:cs="Times New Roman"/>
          <w:sz w:val="24"/>
          <w:szCs w:val="24"/>
        </w:rPr>
        <w:t xml:space="preserve">его на осуществление профессиональной деятельности по организации выполнения работ по инженерным изысканиям, подготовке проектной документации, работ по строительству, реконструкции, капитальному ремонту, сносу объекта капитального строительства, на соотве</w:t>
      </w:r>
      <w:r>
        <w:rPr>
          <w:rFonts w:ascii="Times New Roman" w:hAnsi="Times New Roman" w:cs="Times New Roman"/>
          <w:sz w:val="24"/>
          <w:szCs w:val="24"/>
        </w:rPr>
        <w:t xml:space="preserve">тствие положениям профессионального стандарта, устанавливающего характеристики квалификации, необходимой работнику для осуществления указанного вида профессиональной деятельности, выполнения трудовых функций, должностных обязанностей, установленных статьей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55.5-1 Градостроительного кодекса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наличие документа, подтверждающ</w:t>
      </w:r>
      <w:r>
        <w:rPr>
          <w:rFonts w:ascii="Times New Roman" w:hAnsi="Times New Roman" w:cs="Times New Roman"/>
          <w:sz w:val="24"/>
          <w:szCs w:val="24"/>
        </w:rPr>
        <w:t xml:space="preserve">его право иностранного гражданина на осуществление трудовой деятельности на территории Российской Федерации, за исключением случаев, если в соответствии с федеральными законами или международными договорами Российской Федерации такой документ не требуется;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отсутствие непогашенной или неснятой судимости за совершение умышленного преступления.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  <w:highlight w:val="cyan"/>
        </w:rPr>
      </w:pPr>
      <w:r>
        <w:rPr>
          <w:rFonts w:ascii="Times New Roman" w:hAnsi="Times New Roman" w:cs="Times New Roman"/>
          <w:sz w:val="24"/>
          <w:szCs w:val="24"/>
          <w:highlight w:val="cyan"/>
        </w:rPr>
        <w:br w:type="page" w:clear="all"/>
      </w:r>
      <w:r>
        <w:rPr>
          <w:rFonts w:ascii="Times New Roman" w:hAnsi="Times New Roman" w:cs="Times New Roman"/>
          <w:sz w:val="24"/>
          <w:szCs w:val="24"/>
          <w:highlight w:val="cyan"/>
        </w:rPr>
      </w:r>
      <w:r>
        <w:rPr>
          <w:rFonts w:ascii="Times New Roman" w:hAnsi="Times New Roman" w:cs="Times New Roman"/>
          <w:sz w:val="24"/>
          <w:szCs w:val="24"/>
          <w:highlight w:val="cyan"/>
        </w:rPr>
      </w:r>
    </w:p>
    <w:p>
      <w:pPr>
        <w:jc w:val="right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eastAsia="Calibri" w:cs="Times New Roman"/>
          <w:sz w:val="24"/>
          <w:szCs w:val="24"/>
        </w:rPr>
        <w:t xml:space="preserve">3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МИНИМАЛЬНЫЙ РАЗМЕР СТОИМОСТИ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ОКАЗАННЫХ УСЛУГ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И (ИЛИ)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ВЫПОЛНЕННЫХ РАБОТ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tbl>
      <w:tblPr>
        <w:tblStyle w:val="929"/>
        <w:tblW w:w="9494" w:type="dxa"/>
        <w:jc w:val="center"/>
        <w:tblLook w:val="04A0" w:firstRow="1" w:lastRow="0" w:firstColumn="1" w:lastColumn="0" w:noHBand="0" w:noVBand="1"/>
      </w:tblPr>
      <w:tblGrid>
        <w:gridCol w:w="564"/>
        <w:gridCol w:w="5318"/>
        <w:gridCol w:w="3612"/>
      </w:tblGrid>
      <w:tr>
        <w:tblPrEx/>
        <w:trPr>
          <w:jc w:val="center"/>
          <w:trHeight w:val="3552"/>
        </w:trPr>
        <w:tc>
          <w:tcPr>
            <w:tcW w:w="564" w:type="dxa"/>
            <w:vAlign w:val="center"/>
            <w:textDirection w:val="lrTb"/>
            <w:noWrap w:val="false"/>
          </w:tcPr>
          <w:p>
            <w:pPr>
              <w:pStyle w:val="941"/>
              <w:jc w:val="center"/>
              <w:rPr>
                <w:highlight w:val="cyan"/>
              </w:rPr>
            </w:pPr>
            <w:r>
              <w:t xml:space="preserve">№ п/п</w:t>
            </w:r>
            <w:r>
              <w:rPr>
                <w:highlight w:val="cyan"/>
              </w:rPr>
            </w:r>
            <w:r>
              <w:rPr>
                <w:highlight w:val="cyan"/>
              </w:rPr>
            </w:r>
          </w:p>
        </w:tc>
        <w:tc>
          <w:tcPr>
            <w:tcW w:w="53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Предельный размер обязательств по договорам строительного подряда, в соответствии с которым Участником как членом саморе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гулируемой организации, основанной на членстве лиц, осуществляющих строительство, внесен взнос в компенсационный фонд обеспечения договорных обязательств, сформированный в соответствии с частью 2 статьи 55.16 Градостроительного кодекса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(уровень ответственности члена саморегулируемой организации)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612" w:type="dxa"/>
            <w:vAlign w:val="center"/>
            <w:textDirection w:val="lrTb"/>
            <w:noWrap w:val="false"/>
          </w:tcPr>
          <w:p>
            <w:pPr>
              <w:pStyle w:val="941"/>
              <w:jc w:val="center"/>
              <w:rPr>
                <w:highlight w:val="cyan"/>
              </w:rPr>
            </w:pPr>
            <w:r>
              <w:t xml:space="preserve">Минимальный размер сто</w:t>
            </w:r>
            <w:r>
              <w:t xml:space="preserve">имост</w:t>
            </w:r>
            <w:r>
              <w:t xml:space="preserve">и</w:t>
            </w:r>
            <w:r>
              <w:t xml:space="preserve"> </w:t>
            </w:r>
            <w:r>
              <w:t xml:space="preserve">оказанных услуг </w:t>
            </w:r>
            <w:r>
              <w:t xml:space="preserve">и (или) </w:t>
            </w:r>
            <w:r>
              <w:t xml:space="preserve">выполненных </w:t>
            </w:r>
            <w:r>
              <w:t xml:space="preserve">р</w:t>
            </w:r>
            <w:r>
              <w:t xml:space="preserve">абот</w:t>
            </w:r>
            <w:r>
              <w:t xml:space="preserve"> по исполненным контрактам и (или) договорам</w:t>
            </w:r>
            <w:r>
              <w:t xml:space="preserve">*</w:t>
            </w:r>
            <w:r>
              <w:rPr>
                <w:highlight w:val="cyan"/>
              </w:rPr>
            </w:r>
            <w:r>
              <w:rPr>
                <w:highlight w:val="cyan"/>
              </w:rPr>
            </w:r>
          </w:p>
        </w:tc>
      </w:tr>
      <w:tr>
        <w:tblPrEx/>
        <w:trPr>
          <w:jc w:val="center"/>
        </w:trPr>
        <w:tc>
          <w:tcPr>
            <w:tcW w:w="564" w:type="dxa"/>
            <w:vAlign w:val="center"/>
            <w:textDirection w:val="lrTb"/>
            <w:noWrap w:val="false"/>
          </w:tcPr>
          <w:p>
            <w:pPr>
              <w:pStyle w:val="941"/>
            </w:pPr>
            <w:r>
              <w:t xml:space="preserve">1</w:t>
            </w:r>
            <w:r/>
          </w:p>
        </w:tc>
        <w:tc>
          <w:tcPr>
            <w:tcW w:w="53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превышает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миллионов рублей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(первый уровень ответственности члена саморегулируемой организации)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612" w:type="dxa"/>
            <w:vAlign w:val="center"/>
            <w:textDirection w:val="lrTb"/>
            <w:noWrap w:val="false"/>
          </w:tcPr>
          <w:p>
            <w:pPr>
              <w:pStyle w:val="941"/>
            </w:pPr>
            <w:r>
              <w:rPr>
                <w:lang w:val="en-US"/>
              </w:rPr>
              <w:t xml:space="preserve">5</w:t>
            </w:r>
            <w:r>
              <w:rPr>
                <w:lang w:val="ru-RU"/>
              </w:rPr>
              <w:t xml:space="preserve">,55</w:t>
            </w:r>
            <w:r>
              <w:t xml:space="preserve"> % от предельного размера обязательств</w:t>
            </w:r>
            <w:r/>
          </w:p>
        </w:tc>
      </w:tr>
      <w:tr>
        <w:tblPrEx/>
        <w:trPr>
          <w:jc w:val="center"/>
        </w:trPr>
        <w:tc>
          <w:tcPr>
            <w:tcW w:w="564" w:type="dxa"/>
            <w:vAlign w:val="center"/>
            <w:textDirection w:val="lrTb"/>
            <w:noWrap w:val="false"/>
          </w:tcPr>
          <w:p>
            <w:pPr>
              <w:pStyle w:val="941"/>
            </w:pPr>
            <w:r>
              <w:t xml:space="preserve">2</w:t>
            </w:r>
            <w:r/>
          </w:p>
        </w:tc>
        <w:tc>
          <w:tcPr>
            <w:tcW w:w="5318" w:type="dxa"/>
            <w:vAlign w:val="center"/>
            <w:textDirection w:val="lrTb"/>
            <w:noWrap w:val="false"/>
          </w:tcPr>
          <w:p>
            <w:pPr>
              <w:pStyle w:val="941"/>
            </w:pPr>
            <w:r>
              <w:t xml:space="preserve">не превышает 500 миллионов рублей</w:t>
            </w:r>
            <w:r/>
          </w:p>
          <w:p>
            <w:pPr>
              <w:pStyle w:val="941"/>
            </w:pPr>
            <w:r>
              <w:t xml:space="preserve">(второй уровень ответственности члена саморегулируемой организации)</w:t>
            </w:r>
            <w:r/>
          </w:p>
        </w:tc>
        <w:tc>
          <w:tcPr>
            <w:tcW w:w="3612" w:type="dxa"/>
            <w:vAlign w:val="center"/>
            <w:textDirection w:val="lrTb"/>
            <w:noWrap w:val="false"/>
          </w:tcPr>
          <w:p>
            <w:pPr>
              <w:pStyle w:val="941"/>
            </w:pPr>
            <w:r>
              <w:t xml:space="preserve">1</w:t>
            </w:r>
            <w:r>
              <w:t xml:space="preserve"> % от предельного размера обязательств</w:t>
            </w:r>
            <w:r/>
          </w:p>
        </w:tc>
      </w:tr>
      <w:tr>
        <w:tblPrEx/>
        <w:trPr>
          <w:jc w:val="center"/>
          <w:trHeight w:val="437"/>
        </w:trPr>
        <w:tc>
          <w:tcPr>
            <w:tcW w:w="564" w:type="dxa"/>
            <w:vAlign w:val="center"/>
            <w:textDirection w:val="lrTb"/>
            <w:noWrap w:val="false"/>
          </w:tcPr>
          <w:p>
            <w:pPr>
              <w:pStyle w:val="941"/>
            </w:pPr>
            <w:r>
              <w:t xml:space="preserve">3</w:t>
            </w:r>
            <w:r/>
          </w:p>
        </w:tc>
        <w:tc>
          <w:tcPr>
            <w:tcW w:w="5318" w:type="dxa"/>
            <w:vAlign w:val="center"/>
            <w:textDirection w:val="lrTb"/>
            <w:noWrap w:val="false"/>
          </w:tcPr>
          <w:p>
            <w:pPr>
              <w:pStyle w:val="941"/>
            </w:pPr>
            <w:r>
              <w:t xml:space="preserve">не превышает 3 миллиарда рублей</w:t>
            </w:r>
            <w:r/>
          </w:p>
          <w:p>
            <w:pPr>
              <w:pStyle w:val="941"/>
            </w:pPr>
            <w:r>
              <w:t xml:space="preserve">(третий уровень ответственности члена саморегулируемой организации)</w:t>
            </w:r>
            <w:r/>
          </w:p>
        </w:tc>
        <w:tc>
          <w:tcPr>
            <w:tcW w:w="3612" w:type="dxa"/>
            <w:vAlign w:val="center"/>
            <w:textDirection w:val="lrTb"/>
            <w:noWrap w:val="false"/>
          </w:tcPr>
          <w:p>
            <w:pPr>
              <w:pStyle w:val="941"/>
            </w:pPr>
            <w:r>
              <w:t xml:space="preserve">0,17</w:t>
            </w:r>
            <w:r>
              <w:t xml:space="preserve"> % от предельного размера обязательств</w:t>
            </w:r>
            <w:r/>
          </w:p>
        </w:tc>
      </w:tr>
      <w:tr>
        <w:tblPrEx/>
        <w:trPr>
          <w:jc w:val="center"/>
          <w:trHeight w:val="437"/>
        </w:trPr>
        <w:tc>
          <w:tcPr>
            <w:tcW w:w="564" w:type="dxa"/>
            <w:vAlign w:val="center"/>
            <w:textDirection w:val="lrTb"/>
            <w:noWrap w:val="false"/>
          </w:tcPr>
          <w:p>
            <w:pPr>
              <w:pStyle w:val="941"/>
            </w:pPr>
            <w:r>
              <w:t xml:space="preserve">4</w:t>
            </w:r>
            <w:r/>
          </w:p>
        </w:tc>
        <w:tc>
          <w:tcPr>
            <w:tcW w:w="53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превышает 10 миллиардов рублей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(четвертый уровень ответственности члена саморегулируемой организации)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612" w:type="dxa"/>
            <w:vAlign w:val="center"/>
            <w:vMerge w:val="restart"/>
            <w:textDirection w:val="lrTb"/>
            <w:noWrap w:val="false"/>
          </w:tcPr>
          <w:p>
            <w:pPr>
              <w:pStyle w:val="941"/>
            </w:pPr>
            <w:r>
              <w:t xml:space="preserve">0,05</w:t>
            </w:r>
            <w:r>
              <w:t xml:space="preserve"> </w:t>
            </w:r>
            <w:r>
              <w:t xml:space="preserve">% от предельного размера обязательств</w:t>
            </w:r>
            <w:r/>
          </w:p>
        </w:tc>
      </w:tr>
      <w:tr>
        <w:tblPrEx/>
        <w:trPr>
          <w:jc w:val="center"/>
        </w:trPr>
        <w:tc>
          <w:tcPr>
            <w:tcW w:w="564" w:type="dxa"/>
            <w:vAlign w:val="center"/>
            <w:textDirection w:val="lrTb"/>
            <w:noWrap w:val="false"/>
          </w:tcPr>
          <w:p>
            <w:pPr>
              <w:pStyle w:val="941"/>
            </w:pPr>
            <w:r>
              <w:t xml:space="preserve">5.</w:t>
            </w:r>
            <w:r/>
          </w:p>
        </w:tc>
        <w:tc>
          <w:tcPr>
            <w:tcW w:w="53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составляет 10 миллиардов рублей и более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(пятый уровень ответственности члена саморегулируемой организации)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612" w:type="dxa"/>
            <w:vMerge w:val="continue"/>
            <w:textDirection w:val="lrTb"/>
            <w:noWrap w:val="false"/>
          </w:tcPr>
          <w:p>
            <w:pPr>
              <w:pStyle w:val="941"/>
              <w:rPr>
                <w:highlight w:val="cyan"/>
              </w:rPr>
            </w:pPr>
            <w:r>
              <w:rPr>
                <w:highlight w:val="cyan"/>
              </w:rPr>
            </w:r>
            <w:r>
              <w:rPr>
                <w:highlight w:val="cyan"/>
              </w:rPr>
            </w:r>
            <w:r>
              <w:rPr>
                <w:highlight w:val="cyan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  <w:highlight w:val="cyan"/>
        </w:rPr>
      </w:pP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*</w:t>
      </w:r>
      <w:r>
        <w:rPr>
          <w:rFonts w:ascii="Times New Roman" w:hAnsi="Times New Roman" w:cs="Times New Roman"/>
          <w:sz w:val="24"/>
          <w:szCs w:val="24"/>
        </w:rPr>
        <w:t xml:space="preserve"> Размер стоимости оказанных услуг и (или) выполненных работ по всем исполненным контрактам и (или) договорам, представленным Участником и соответствующим требованиям пункта 23</w:t>
      </w:r>
      <w:r>
        <w:rPr>
          <w:rFonts w:ascii="Times New Roman" w:hAnsi="Times New Roman" w:cs="Times New Roman"/>
          <w:sz w:val="24"/>
          <w:szCs w:val="24"/>
        </w:rPr>
        <w:t xml:space="preserve"> Положения</w:t>
      </w:r>
      <w:r>
        <w:rPr>
          <w:rFonts w:ascii="Times New Roman" w:hAnsi="Times New Roman" w:cs="Times New Roman"/>
          <w:sz w:val="24"/>
          <w:szCs w:val="24"/>
        </w:rPr>
        <w:t xml:space="preserve">, определяется как совокупная стоимость услуг и (или) работ по таким контрактам и (или) договорам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  <w:highlight w:val="cyan"/>
        </w:rPr>
      </w:pP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  <w:highlight w:val="cyan"/>
        </w:rPr>
      </w:pP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  <w:highlight w:val="cyan"/>
        </w:rPr>
      </w:pP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  <w:highlight w:val="cyan"/>
        </w:rPr>
      </w:pP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</w:p>
    <w:p>
      <w:pPr>
        <w:rPr>
          <w:rFonts w:ascii="Times New Roman" w:hAnsi="Times New Roman" w:eastAsia="Calibri" w:cs="Times New Roman"/>
          <w:b/>
          <w:sz w:val="24"/>
          <w:szCs w:val="24"/>
          <w:highlight w:val="cyan"/>
        </w:rPr>
      </w:pP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  <w:br w:type="page" w:clear="all"/>
      </w: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</w:p>
    <w:p>
      <w:pPr>
        <w:jc w:val="right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Приложение № 4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ШТАТНО-СПИСОЧНЫЙ СОСТАВ СОТРУДНИКОВ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Участник предварительного отбора подрядных организаций: </w:t>
      </w:r>
      <w:r>
        <w:rPr>
          <w:rFonts w:ascii="Times New Roman" w:hAnsi="Times New Roman" w:eastAsia="Times New Roman" w:cs="Times New Roman"/>
          <w:bCs/>
          <w:i/>
          <w:sz w:val="24"/>
          <w:szCs w:val="24"/>
          <w:u w:val="single"/>
          <w:lang w:eastAsia="ru-RU"/>
        </w:rPr>
        <w:t xml:space="preserve">(указывается полное наименование и организационно правовая форма для юридического лица или Ф.И.О. (при наличии отчества) для индивидуального предпринимателя</w:t>
      </w:r>
      <w:r>
        <w:rPr>
          <w:rFonts w:ascii="Times New Roman" w:hAnsi="Times New Roman" w:eastAsia="Times New Roman" w:cs="Times New Roman"/>
          <w:bCs/>
          <w:sz w:val="24"/>
          <w:szCs w:val="24"/>
          <w:u w:val="single"/>
          <w:lang w:eastAsia="ru-RU"/>
        </w:rPr>
        <w:t xml:space="preserve"> .</w:t>
      </w:r>
      <w:r>
        <w:rPr>
          <w:rFonts w:ascii="Times New Roman" w:hAnsi="Times New Roman" w:eastAsia="Times New Roman" w:cs="Times New Roman"/>
          <w:bCs/>
          <w:sz w:val="24"/>
          <w:szCs w:val="24"/>
          <w:u w:val="single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u w:val="single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highlight w:val="cyan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highlight w:val="cyan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highlight w:val="cyan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highlight w:val="cyan"/>
          <w:lang w:eastAsia="ru-RU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4"/>
        <w:gridCol w:w="1398"/>
        <w:gridCol w:w="1843"/>
        <w:gridCol w:w="1136"/>
        <w:gridCol w:w="1647"/>
        <w:gridCol w:w="1326"/>
        <w:gridCol w:w="1740"/>
      </w:tblGrid>
      <w:tr>
        <w:tblPrEx/>
        <w:trPr/>
        <w:tc>
          <w:tcPr>
            <w:shd w:val="clear" w:color="auto" w:fill="auto"/>
            <w:tcW w:w="182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741" w:type="pct"/>
            <w:vAlign w:val="center"/>
            <w:textDirection w:val="lrTb"/>
            <w:noWrap w:val="false"/>
          </w:tcPr>
          <w:p>
            <w:pPr>
              <w:ind w:left="168" w:right="79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Фамилия, имя, отчество сотрудника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977" w:type="pct"/>
            <w:textDirection w:val="lrTb"/>
            <w:noWrap w:val="false"/>
          </w:tcPr>
          <w:p>
            <w:pPr>
              <w:ind w:left="168" w:right="10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Идентификационный номер в Национальном реестре специалистов в области строительства (НОСТРОЙ)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602" w:type="pct"/>
            <w:vAlign w:val="center"/>
            <w:textDirection w:val="lrTb"/>
            <w:noWrap w:val="false"/>
          </w:tcPr>
          <w:p>
            <w:pPr>
              <w:ind w:left="168" w:right="10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Должность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73" w:type="pct"/>
            <w:vAlign w:val="center"/>
            <w:textDirection w:val="lrTb"/>
            <w:noWrap w:val="false"/>
          </w:tcPr>
          <w:p>
            <w:pPr>
              <w:ind w:left="51" w:right="61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Образование, специальность (по диплому)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703" w:type="pct"/>
            <w:vAlign w:val="center"/>
            <w:textDirection w:val="lrTb"/>
            <w:noWrap w:val="false"/>
          </w:tcPr>
          <w:p>
            <w:pPr>
              <w:ind w:left="71" w:right="10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Стаж работы по специальности, лет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922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Наличие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сертификатов, аттестатов и удостоверений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, подтверждающих квалификацию сотрудника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ffffff"/>
            <w:tcW w:w="182" w:type="pct"/>
            <w:vAlign w:val="center"/>
            <w:textDirection w:val="lrTb"/>
            <w:noWrap w:val="false"/>
          </w:tcPr>
          <w:p>
            <w:pPr>
              <w:ind w:left="-182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W w:w="741" w:type="pct"/>
            <w:vAlign w:val="center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W w:w="977" w:type="pct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W w:w="602" w:type="pct"/>
            <w:vAlign w:val="center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W w:w="873" w:type="pct"/>
            <w:vAlign w:val="center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W w:w="703" w:type="pct"/>
            <w:vAlign w:val="center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W w:w="922" w:type="pct"/>
            <w:vAlign w:val="center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W w:w="182" w:type="pct"/>
            <w:vAlign w:val="center"/>
            <w:textDirection w:val="lrTb"/>
            <w:noWrap w:val="false"/>
          </w:tcPr>
          <w:p>
            <w:pPr>
              <w:ind w:left="-182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W w:w="741" w:type="pct"/>
            <w:vAlign w:val="center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W w:w="977" w:type="pct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W w:w="602" w:type="pct"/>
            <w:vAlign w:val="center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W w:w="873" w:type="pct"/>
            <w:vAlign w:val="center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W w:w="703" w:type="pct"/>
            <w:vAlign w:val="center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W w:w="922" w:type="pct"/>
            <w:vAlign w:val="center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W w:w="182" w:type="pct"/>
            <w:vAlign w:val="center"/>
            <w:textDirection w:val="lrTb"/>
            <w:noWrap w:val="false"/>
          </w:tcPr>
          <w:p>
            <w:pPr>
              <w:ind w:left="-182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W w:w="741" w:type="pct"/>
            <w:vAlign w:val="center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W w:w="977" w:type="pct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W w:w="602" w:type="pct"/>
            <w:vAlign w:val="center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W w:w="873" w:type="pct"/>
            <w:vAlign w:val="center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W w:w="703" w:type="pct"/>
            <w:vAlign w:val="center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W w:w="922" w:type="pct"/>
            <w:vAlign w:val="center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ind w:right="-37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highlight w:val="cy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cyan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cyan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cyan"/>
          <w:lang w:eastAsia="ru-RU"/>
        </w:rPr>
      </w:r>
    </w:p>
    <w:p>
      <w:pPr>
        <w:numPr>
          <w:ilvl w:val="0"/>
          <w:numId w:val="26"/>
        </w:numPr>
        <w:ind w:left="0" w:firstLine="0"/>
        <w:jc w:val="both"/>
        <w:spacing w:after="0" w:line="240" w:lineRule="auto"/>
        <w:widowControl w:val="off"/>
        <w:tabs>
          <w:tab w:val="left" w:pos="284" w:leader="none"/>
        </w:tabs>
        <w:rPr>
          <w:rFonts w:ascii="Times New Roman" w:hAnsi="Times New Roman" w:eastAsia="Calibri" w:cs="Times New Roman"/>
          <w:sz w:val="24"/>
          <w:szCs w:val="24"/>
          <w:highlight w:val="cyan"/>
        </w:rPr>
      </w:pPr>
      <w:r>
        <w:rPr>
          <w:rFonts w:ascii="Times New Roman" w:hAnsi="Times New Roman" w:eastAsia="Calibri" w:cs="Times New Roman"/>
          <w:sz w:val="24"/>
          <w:szCs w:val="24"/>
          <w:highlight w:val="cyan"/>
        </w:rPr>
        <w:br w:type="page" w:clear="all"/>
      </w: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</w:p>
    <w:p>
      <w:pPr>
        <w:jc w:val="right"/>
        <w:spacing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Приложение № 5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spacing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center"/>
        <w:spacing w:after="0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ПЕРЕЧЕНЬ КОНТРАКТОВ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И (ИЛИ) ДОГОВОРОВ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, ПОДТВЕРЖДАЮЩИХ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НАЛИЧИЕ У УЧАСТНИКА ПРЕДВАРИТЕЛЬНОГО ОТБОРА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ОПЫТ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А ОКАЗАНИЯ УСЛУГ И (ИЛИ) ВЫПОЛНЕНИЯ РАБОТ, АНАЛОГИЧНЫХ ПРЕДМЕТУ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ПРЕДВАРИТЕЛЬНОГО ОТБОРА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both"/>
        <w:spacing w:after="0"/>
        <w:rPr>
          <w:rFonts w:ascii="Times New Roman" w:hAnsi="Times New Roman" w:eastAsia="Calibri" w:cs="Times New Roman"/>
          <w:sz w:val="24"/>
          <w:szCs w:val="24"/>
          <w:highlight w:val="cyan"/>
        </w:rPr>
      </w:pP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</w:p>
    <w:tbl>
      <w:tblPr>
        <w:tblStyle w:val="929"/>
        <w:tblW w:w="5000" w:type="pct"/>
        <w:tblLayout w:type="fixed"/>
        <w:tblLook w:val="04A0" w:firstRow="1" w:lastRow="0" w:firstColumn="1" w:lastColumn="0" w:noHBand="0" w:noVBand="1"/>
      </w:tblPr>
      <w:tblGrid>
        <w:gridCol w:w="434"/>
        <w:gridCol w:w="954"/>
        <w:gridCol w:w="1418"/>
        <w:gridCol w:w="1131"/>
        <w:gridCol w:w="1133"/>
        <w:gridCol w:w="1416"/>
        <w:gridCol w:w="1277"/>
        <w:gridCol w:w="1807"/>
      </w:tblGrid>
      <w:tr>
        <w:tblPrEx/>
        <w:trPr>
          <w:trHeight w:val="2622"/>
        </w:trPr>
        <w:tc>
          <w:tcPr>
            <w:tcW w:w="22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№ п/п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W w:w="49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Наименование, дата заключения и номер контракта и (или) договора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W w:w="74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Предмет контракта и (или) договора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 (объект (объекты), в отношении которого (которых) оказаны услуги и (или) выполнены работы)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W w:w="59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Установленный срок оказания услуг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(или)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выполнения работ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59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Первоначальная стоимость услуг 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и (или) 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работ, рублей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W w:w="7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Наименование, дата и номер актов приемки оказанных услуг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 и (или)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 выполненных работ по контракту и (или) договору или иных документов, подтверждающих приемку услуг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 и (или) 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работ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W w:w="66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Окончательная стоимость услуг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 и (или) 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работ (согласно актам приемки оказанных услуг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 и (или) в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ыполненных работ), рублей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W w:w="94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Наличие подтверждения приемки заказчиком услуг и (или) работ по контракту и (или) договору, оказанных и (или) выполненных в полном объеме (наличие/отсутствие подписи заказчика о приемке)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226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98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741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591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592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740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667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944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226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98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741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591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592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740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667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944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226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98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741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591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592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740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667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944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</w:tr>
    </w:tbl>
    <w:p>
      <w:pPr>
        <w:jc w:val="both"/>
        <w:spacing w:after="0"/>
        <w:rPr>
          <w:rFonts w:ascii="Times New Roman" w:hAnsi="Times New Roman" w:eastAsia="Calibri" w:cs="Times New Roman"/>
          <w:sz w:val="24"/>
          <w:szCs w:val="24"/>
          <w:highlight w:val="cyan"/>
        </w:rPr>
      </w:pP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</w:p>
    <w:p>
      <w:pPr>
        <w:rPr>
          <w:rFonts w:ascii="Times New Roman" w:hAnsi="Times New Roman" w:eastAsia="Calibri" w:cs="Times New Roman"/>
          <w:sz w:val="24"/>
          <w:szCs w:val="24"/>
          <w:highlight w:val="cyan"/>
        </w:rPr>
      </w:pPr>
      <w:r>
        <w:rPr>
          <w:rFonts w:ascii="Times New Roman" w:hAnsi="Times New Roman" w:eastAsia="Calibri" w:cs="Times New Roman"/>
          <w:i/>
          <w:sz w:val="24"/>
          <w:szCs w:val="24"/>
          <w:highlight w:val="cyan"/>
        </w:rPr>
        <w:br w:type="page" w:clear="all"/>
      </w: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</w:p>
    <w:p>
      <w:pPr>
        <w:ind w:left="5812"/>
        <w:jc w:val="right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Приложение № 6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5529"/>
        <w:jc w:val="right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ЗАПРОС О РАЗЪЯСНЕНИИ ДОКУМЕНТАЦИИ О ПРОВЕДЕНИИ ПРЕДВАРИТЕЛЬНОГО ОТБОРА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Руководствуясь пунктом 34 Положения о привлечении специализированной некоммерческой организацией, осуществляющей деятельность, направленную на обеспечение проведения капитального ремонта общего имущест</w:t>
      </w:r>
      <w:r>
        <w:rPr>
          <w:rFonts w:ascii="Times New Roman" w:hAnsi="Times New Roman" w:eastAsia="Calibri" w:cs="Times New Roman"/>
          <w:sz w:val="24"/>
          <w:szCs w:val="24"/>
        </w:rPr>
        <w:t xml:space="preserve">ва в многоквартирных домах, подрядных организаций для оказания услуг и (или) выполнения работ по капитальному ремонту общего имущества в многоквартирном доме, утвержденное Постановлением Правительства Российской Федерации от 1 июля 2016 года № 615, просим </w:t>
      </w:r>
      <w:r>
        <w:rPr>
          <w:rFonts w:ascii="Times New Roman" w:hAnsi="Times New Roman" w:eastAsia="Calibri" w:cs="Times New Roman"/>
          <w:sz w:val="24"/>
          <w:szCs w:val="24"/>
        </w:rPr>
        <w:t xml:space="preserve">дать</w:t>
      </w:r>
      <w:r>
        <w:rPr>
          <w:rFonts w:ascii="Times New Roman" w:hAnsi="Times New Roman" w:eastAsia="Calibri" w:cs="Times New Roman"/>
          <w:sz w:val="24"/>
          <w:szCs w:val="24"/>
        </w:rPr>
        <w:t xml:space="preserve"> разъяснения следующих положений Документации о проведении </w:t>
      </w:r>
      <w:r>
        <w:rPr>
          <w:rFonts w:ascii="Times New Roman" w:hAnsi="Times New Roman" w:eastAsia="Calibri" w:cs="Times New Roman"/>
          <w:sz w:val="24"/>
          <w:szCs w:val="24"/>
        </w:rPr>
        <w:t xml:space="preserve">предварительного отбора № </w:t>
      </w:r>
      <w:r>
        <w:rPr>
          <w:rFonts w:ascii="Times New Roman" w:hAnsi="Times New Roman" w:eastAsia="Calibri" w:cs="Times New Roman"/>
          <w:sz w:val="24"/>
          <w:szCs w:val="24"/>
        </w:rPr>
        <w:t xml:space="preserve">2-ПО(1</w:t>
      </w:r>
      <w:r>
        <w:rPr>
          <w:rFonts w:ascii="Times New Roman" w:hAnsi="Times New Roman" w:eastAsia="Calibri" w:cs="Times New Roman"/>
          <w:sz w:val="24"/>
          <w:szCs w:val="24"/>
        </w:rPr>
        <w:t xml:space="preserve">).КРК-1.20</w:t>
      </w:r>
      <w:r>
        <w:rPr>
          <w:rFonts w:ascii="Times New Roman" w:hAnsi="Times New Roman" w:eastAsia="Calibri" w:cs="Times New Roman"/>
          <w:sz w:val="24"/>
          <w:szCs w:val="24"/>
        </w:rPr>
        <w:t xml:space="preserve">26</w:t>
      </w:r>
      <w:r>
        <w:rPr>
          <w:rFonts w:ascii="Times New Roman" w:hAnsi="Times New Roman" w:eastAsia="Calibri" w:cs="Times New Roman"/>
          <w:sz w:val="24"/>
          <w:szCs w:val="24"/>
        </w:rPr>
        <w:t xml:space="preserve">: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1.____________________________________________________</w:t>
      </w:r>
      <w:r>
        <w:rPr>
          <w:rFonts w:ascii="Times New Roman" w:hAnsi="Times New Roman" w:eastAsia="Calibri" w:cs="Times New Roman"/>
          <w:sz w:val="24"/>
          <w:szCs w:val="24"/>
        </w:rPr>
        <w:t xml:space="preserve">_____________________________________________________________________________________________________2._________________________________________________________________________________________________________________________________________________________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spacing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spacing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spacing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Участник предварительного отбора                                                                Ф.И.О.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(</w:t>
      </w:r>
      <w:r>
        <w:rPr>
          <w:rFonts w:ascii="Times New Roman" w:hAnsi="Times New Roman" w:eastAsia="Calibri" w:cs="Times New Roman"/>
          <w:i/>
          <w:sz w:val="24"/>
          <w:szCs w:val="24"/>
        </w:rPr>
        <w:t xml:space="preserve">уполномоченный представитель</w:t>
      </w:r>
      <w:r>
        <w:rPr>
          <w:rFonts w:ascii="Times New Roman" w:hAnsi="Times New Roman" w:eastAsia="Calibri" w:cs="Times New Roman"/>
          <w:sz w:val="24"/>
          <w:szCs w:val="24"/>
        </w:rPr>
        <w:t xml:space="preserve">)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i/>
          <w:sz w:val="24"/>
          <w:szCs w:val="24"/>
        </w:rPr>
      </w:pP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i/>
          <w:sz w:val="24"/>
          <w:szCs w:val="24"/>
        </w:rPr>
      </w:pPr>
      <w:r>
        <w:rPr>
          <w:rFonts w:ascii="Times New Roman" w:hAnsi="Times New Roman" w:eastAsia="Calibri" w:cs="Times New Roman"/>
          <w:i/>
          <w:sz w:val="24"/>
          <w:szCs w:val="24"/>
        </w:rPr>
        <w:t xml:space="preserve">          М.П.</w:t>
      </w: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i/>
          <w:sz w:val="24"/>
          <w:szCs w:val="24"/>
        </w:rPr>
      </w:pP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i/>
          <w:sz w:val="24"/>
          <w:szCs w:val="24"/>
        </w:rPr>
      </w:pP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</w:p>
    <w:p>
      <w:pPr>
        <w:ind w:firstLine="709"/>
        <w:spacing w:after="0" w:line="240" w:lineRule="auto"/>
        <w:tabs>
          <w:tab w:val="left" w:pos="284" w:leader="none"/>
          <w:tab w:val="left" w:pos="993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br w:type="page" w:clear="all"/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5812"/>
        <w:jc w:val="right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Приложение № 7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center"/>
        <w:spacing w:before="260" w:after="0" w:line="240" w:lineRule="auto"/>
        <w:widowControl w:val="off"/>
        <w:rPr>
          <w:rFonts w:ascii="Times New Roman" w:hAnsi="Times New Roman" w:eastAsia="SimSu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b/>
          <w:sz w:val="24"/>
          <w:szCs w:val="24"/>
          <w:lang w:eastAsia="ru-RU"/>
        </w:rPr>
        <w:t xml:space="preserve">СОГЛАСИЕ</w:t>
      </w:r>
      <w:r>
        <w:rPr>
          <w:rFonts w:ascii="Times New Roman" w:hAnsi="Times New Roman" w:eastAsia="SimSu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b/>
          <w:sz w:val="24"/>
          <w:szCs w:val="24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SimSu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b/>
          <w:sz w:val="24"/>
          <w:szCs w:val="24"/>
          <w:lang w:eastAsia="ru-RU"/>
        </w:rPr>
        <w:t xml:space="preserve">на обработку персональных данных</w:t>
      </w:r>
      <w:r>
        <w:rPr>
          <w:rFonts w:ascii="Times New Roman" w:hAnsi="Times New Roman" w:eastAsia="SimSu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b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   Я, _________________________________________________________________________,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0"/>
          <w:szCs w:val="24"/>
          <w:lang w:eastAsia="ru-RU"/>
        </w:rPr>
        <w:t xml:space="preserve">(фамилия, имя, отчество (при наличии))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в соответствии с п. 4 ст. 9 Федерального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закона от 27.07.2006  № 152-ФЗ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«О персональных данных», зарегистрирован(а)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по адресу:_____________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_______________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____________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____________________________________________________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_________________________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документ, удостоверяющий личность: ________________________________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____________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__________________________________________________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_________________________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__,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0"/>
          <w:szCs w:val="24"/>
          <w:lang w:eastAsia="ru-RU"/>
        </w:rPr>
        <w:t xml:space="preserve">(наименование документа, номер, сведения о дате выдачи документа и выдавшем его органе)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highlight w:val="yellow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highlight w:val="yellow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highlight w:val="yellow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highlight w:val="yellow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b/>
          <w:sz w:val="24"/>
          <w:szCs w:val="24"/>
          <w:lang w:eastAsia="ru-RU"/>
        </w:rPr>
        <w:t xml:space="preserve">в целях 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передачи документов ________________________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_________________________, 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SimSun" w:cs="Times New Roman"/>
          <w:sz w:val="20"/>
          <w:szCs w:val="24"/>
          <w:lang w:eastAsia="ru-RU"/>
        </w:rPr>
      </w:pPr>
      <w:r>
        <w:rPr>
          <w:rFonts w:ascii="Times New Roman" w:hAnsi="Times New Roman" w:eastAsia="SimSun" w:cs="Times New Roman"/>
          <w:sz w:val="20"/>
          <w:szCs w:val="24"/>
          <w:lang w:eastAsia="ru-RU"/>
        </w:rPr>
        <w:t xml:space="preserve">                            </w:t>
      </w:r>
      <w:r>
        <w:rPr>
          <w:rFonts w:ascii="Times New Roman" w:hAnsi="Times New Roman" w:eastAsia="SimSun" w:cs="Times New Roman"/>
          <w:sz w:val="20"/>
          <w:szCs w:val="24"/>
          <w:lang w:eastAsia="ru-RU"/>
        </w:rPr>
        <w:t xml:space="preserve">                             </w:t>
      </w:r>
      <w:r>
        <w:rPr>
          <w:rFonts w:ascii="Times New Roman" w:hAnsi="Times New Roman" w:eastAsia="SimSun" w:cs="Times New Roman"/>
          <w:sz w:val="20"/>
          <w:szCs w:val="24"/>
          <w:lang w:eastAsia="ru-RU"/>
        </w:rPr>
        <w:t xml:space="preserve">  (указать наименование организации)</w:t>
      </w:r>
      <w:r>
        <w:rPr>
          <w:rFonts w:ascii="Times New Roman" w:hAnsi="Times New Roman" w:eastAsia="SimSun" w:cs="Times New Roman"/>
          <w:sz w:val="20"/>
          <w:szCs w:val="24"/>
          <w:lang w:eastAsia="ru-RU"/>
        </w:rPr>
      </w:r>
      <w:r>
        <w:rPr>
          <w:rFonts w:ascii="Times New Roman" w:hAnsi="Times New Roman" w:eastAsia="SimSu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располож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енному по адресу: 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______________________________________________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___________________________________________________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__________________________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SimSun" w:cs="Times New Roman"/>
          <w:sz w:val="20"/>
          <w:szCs w:val="24"/>
          <w:lang w:eastAsia="ru-RU"/>
        </w:rPr>
        <w:t xml:space="preserve"> (указать адрес организации)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содержащих мои персональные данные, в составе заявки на участие в предварительном отборе подрядных организаций для включения в реестр квалифицированных подрядных организаций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SimSun" w:cs="Times New Roman"/>
          <w:b/>
          <w:sz w:val="24"/>
          <w:szCs w:val="24"/>
          <w:lang w:eastAsia="ru-RU"/>
        </w:rPr>
        <w:t xml:space="preserve">даю согласие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Министерству жилищно-коммунального хозяйства, энергетики, цифровизации и связи Забайкальского края, находящемуся по адресу: Забайкальский край, г. Чита, ул. Чкалова, д. 136, на обработ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ку моих персональных данных (фамилия, имя, отчество (при наличии), адрес регистрации, образование, профессия, а также иной информации, относящейся ко мне), то есть на совершение действий, предусмотренных п. 3 ст. 3 Федерального закона от 27 июля 2006 года 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br/>
        <w:t xml:space="preserve">№ 152-ФЗ «О персональных данных».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   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Настоящее согласие действует со дня его подписания до дня отзыва в письменной форме.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   "___"______________ 2026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г.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   Субъект персональных данных: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   __________________/_________________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0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    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      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   </w:t>
      </w:r>
      <w:r>
        <w:rPr>
          <w:rFonts w:ascii="Times New Roman" w:hAnsi="Times New Roman" w:eastAsia="SimSun" w:cs="Times New Roman"/>
          <w:sz w:val="20"/>
          <w:szCs w:val="24"/>
          <w:lang w:eastAsia="ru-RU"/>
        </w:rPr>
        <w:t xml:space="preserve">(подпись)            </w:t>
      </w:r>
      <w:r>
        <w:rPr>
          <w:rFonts w:ascii="Times New Roman" w:hAnsi="Times New Roman" w:eastAsia="SimSun" w:cs="Times New Roman"/>
          <w:sz w:val="20"/>
          <w:szCs w:val="24"/>
          <w:lang w:eastAsia="ru-RU"/>
        </w:rPr>
        <w:t xml:space="preserve">              </w:t>
      </w:r>
      <w:r>
        <w:rPr>
          <w:rFonts w:ascii="Times New Roman" w:hAnsi="Times New Roman" w:eastAsia="SimSun" w:cs="Times New Roman"/>
          <w:sz w:val="20"/>
          <w:szCs w:val="24"/>
          <w:lang w:eastAsia="ru-RU"/>
        </w:rPr>
        <w:t xml:space="preserve">  (Ф.И.О.)</w:t>
      </w:r>
      <w:r>
        <w:rPr>
          <w:rFonts w:ascii="Times New Roman" w:hAnsi="Times New Roman" w:eastAsia="SimSun" w:cs="Times New Roman"/>
          <w:sz w:val="20"/>
          <w:szCs w:val="24"/>
          <w:lang w:eastAsia="ru-RU"/>
        </w:rPr>
      </w:r>
      <w:r>
        <w:rPr>
          <w:rFonts w:ascii="Times New Roman" w:hAnsi="Times New Roman" w:eastAsia="SimSu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spacing w:after="0" w:line="240" w:lineRule="auto"/>
        <w:tabs>
          <w:tab w:val="left" w:pos="284" w:leader="none"/>
          <w:tab w:val="left" w:pos="993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985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00506000000020000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6040504020204"/>
  </w:font>
  <w:font w:name="Calibri">
    <w:panose1 w:val="020F0502020204030204"/>
  </w:font>
  <w:font w:name="Cambria">
    <w:panose1 w:val="02040503050406030204"/>
  </w:font>
  <w:font w:name="Times New Roman">
    <w:panose1 w:val="020206030504050203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23133233"/>
      <w:docPartObj>
        <w:docPartGallery w:val="Page Numbers (Top of Page)"/>
        <w:docPartUnique w:val="true"/>
      </w:docPartObj>
      <w:rPr/>
    </w:sdtPr>
    <w:sdtContent>
      <w:p>
        <w:pPr>
          <w:pStyle w:val="936"/>
          <w:jc w:val="center"/>
          <w:spacing w:after="120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 xml:space="preserve"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</w:r>
        <w:r>
          <w:rPr>
            <w:rFonts w:ascii="Times New Roman" w:hAnsi="Times New Roman" w:cs="Times New Roman"/>
            <w:sz w:val="28"/>
            <w:szCs w:val="28"/>
          </w:rPr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upperRoman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hanging="255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2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/>
      <w:rPr>
        <w:rFonts w:hint="default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hanging="271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2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/>
      <w:rPr>
        <w:rFonts w:hint="default"/>
      </w:rPr>
    </w:lvl>
  </w:abstractNum>
  <w:abstractNum w:abstractNumId="8">
    <w:multiLevelType w:val="hybridMultilevel"/>
    <w:lvl w:ilvl="0">
      <w:start w:val="4"/>
      <w:numFmt w:val="upperRoman"/>
      <w:isLgl w:val="false"/>
      <w:suff w:val="tab"/>
      <w:lvlText w:val="%1."/>
      <w:lvlJc w:val="left"/>
      <w:pPr>
        <w:ind w:hanging="387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1">
      <w:start w:val="1"/>
      <w:numFmt w:val="decimal"/>
      <w:isLgl w:val="false"/>
      <w:suff w:val="tab"/>
      <w:lvlText w:val="%2."/>
      <w:lvlJc w:val="left"/>
      <w:pPr>
        <w:ind w:hanging="240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2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/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hanging="267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2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/>
      <w:rPr>
        <w:rFonts w:hint="default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0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4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6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0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2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69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192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24" w:hanging="432"/>
      </w:pPr>
      <w:rPr>
        <w:i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4056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4560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5064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568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72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576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152" w:hanging="144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hanging="241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isLgl w:val="false"/>
      <w:suff w:val="tab"/>
      <w:lvlText w:val="-"/>
      <w:lvlJc w:val="left"/>
      <w:pPr>
        <w:ind w:hanging="183"/>
      </w:pPr>
      <w:rPr>
        <w:rFonts w:hint="default" w:ascii="Times New Roman" w:hAnsi="Times New Roman" w:eastAsia="Times New Roman"/>
        <w:sz w:val="24"/>
        <w:szCs w:val="24"/>
      </w:rPr>
    </w:lvl>
    <w:lvl w:ilvl="2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/>
      <w:rPr>
        <w:rFonts w:hint="default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hanging="336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2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/>
      <w:rPr>
        <w:rFonts w:hint="default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51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257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29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01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73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45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17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89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611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hanging="250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2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/>
      <w:rPr>
        <w:rFonts w:hint="default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hanging="241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2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/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44" w:hanging="384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hanging="327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2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/>
      <w:rPr>
        <w:rFonts w:hint="default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hanging="241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decimal"/>
      <w:isLgl w:val="false"/>
      <w:suff w:val="tab"/>
      <w:lvlText w:val="%1.%2"/>
      <w:lvlJc w:val="left"/>
      <w:pPr>
        <w:ind w:hanging="361"/>
      </w:pPr>
      <w:rPr>
        <w:rFonts w:hint="default" w:ascii="Times New Roman" w:hAnsi="Times New Roman" w:eastAsia="Times New Roman"/>
        <w:sz w:val="24"/>
        <w:szCs w:val="24"/>
      </w:rPr>
    </w:lvl>
    <w:lvl w:ilvl="2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/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/>
      <w:rPr>
        <w:rFonts w:hint="default"/>
      </w:r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1"/>
  </w:num>
  <w:num w:numId="2">
    <w:abstractNumId w:val="36"/>
  </w:num>
  <w:num w:numId="3">
    <w:abstractNumId w:val="15"/>
  </w:num>
  <w:num w:numId="4">
    <w:abstractNumId w:val="31"/>
  </w:num>
  <w:num w:numId="5">
    <w:abstractNumId w:val="14"/>
  </w:num>
  <w:num w:numId="6">
    <w:abstractNumId w:val="5"/>
  </w:num>
  <w:num w:numId="7">
    <w:abstractNumId w:val="24"/>
  </w:num>
  <w:num w:numId="8">
    <w:abstractNumId w:val="38"/>
  </w:num>
  <w:num w:numId="9">
    <w:abstractNumId w:val="20"/>
  </w:num>
  <w:num w:numId="10">
    <w:abstractNumId w:val="28"/>
  </w:num>
  <w:num w:numId="11">
    <w:abstractNumId w:val="30"/>
  </w:num>
  <w:num w:numId="12">
    <w:abstractNumId w:val="19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26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</w:num>
  <w:num w:numId="19">
    <w:abstractNumId w:val="10"/>
  </w:num>
  <w:num w:numId="20">
    <w:abstractNumId w:val="13"/>
  </w:num>
  <w:num w:numId="21">
    <w:abstractNumId w:val="32"/>
  </w:num>
  <w:num w:numId="22">
    <w:abstractNumId w:val="27"/>
  </w:num>
  <w:num w:numId="23">
    <w:abstractNumId w:val="39"/>
  </w:num>
  <w:num w:numId="24">
    <w:abstractNumId w:val="1"/>
  </w:num>
  <w:num w:numId="25">
    <w:abstractNumId w:val="4"/>
  </w:num>
  <w:num w:numId="26">
    <w:abstractNumId w:val="33"/>
  </w:num>
  <w:num w:numId="27">
    <w:abstractNumId w:val="12"/>
  </w:num>
  <w:num w:numId="28">
    <w:abstractNumId w:val="16"/>
  </w:num>
  <w:num w:numId="29">
    <w:abstractNumId w:val="23"/>
  </w:num>
  <w:num w:numId="30">
    <w:abstractNumId w:val="22"/>
  </w:num>
  <w:num w:numId="31">
    <w:abstractNumId w:val="7"/>
  </w:num>
  <w:num w:numId="32">
    <w:abstractNumId w:val="3"/>
  </w:num>
  <w:num w:numId="33">
    <w:abstractNumId w:val="34"/>
  </w:num>
  <w:num w:numId="34">
    <w:abstractNumId w:val="17"/>
  </w:num>
  <w:num w:numId="35">
    <w:abstractNumId w:val="9"/>
  </w:num>
  <w:num w:numId="36">
    <w:abstractNumId w:val="37"/>
  </w:num>
  <w:num w:numId="37">
    <w:abstractNumId w:val="8"/>
  </w:num>
  <w:num w:numId="38">
    <w:abstractNumId w:val="0"/>
  </w:num>
  <w:num w:numId="39">
    <w:abstractNumId w:val="11"/>
  </w:num>
  <w:num w:numId="40">
    <w:abstractNumId w:val="35"/>
  </w:num>
  <w:num w:numId="4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57">
    <w:name w:val="Heading 1 Char"/>
    <w:basedOn w:val="926"/>
    <w:link w:val="924"/>
    <w:uiPriority w:val="9"/>
    <w:rPr>
      <w:rFonts w:ascii="Arial" w:hAnsi="Arial" w:eastAsia="Arial" w:cs="Arial"/>
      <w:sz w:val="40"/>
      <w:szCs w:val="40"/>
    </w:rPr>
  </w:style>
  <w:style w:type="character" w:styleId="758">
    <w:name w:val="Heading 2 Char"/>
    <w:basedOn w:val="926"/>
    <w:link w:val="925"/>
    <w:uiPriority w:val="9"/>
    <w:rPr>
      <w:rFonts w:ascii="Arial" w:hAnsi="Arial" w:eastAsia="Arial" w:cs="Arial"/>
      <w:sz w:val="34"/>
    </w:rPr>
  </w:style>
  <w:style w:type="paragraph" w:styleId="759">
    <w:name w:val="Heading 3"/>
    <w:basedOn w:val="923"/>
    <w:next w:val="923"/>
    <w:link w:val="76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60">
    <w:name w:val="Heading 3 Char"/>
    <w:basedOn w:val="926"/>
    <w:link w:val="759"/>
    <w:uiPriority w:val="9"/>
    <w:rPr>
      <w:rFonts w:ascii="Arial" w:hAnsi="Arial" w:eastAsia="Arial" w:cs="Arial"/>
      <w:sz w:val="30"/>
      <w:szCs w:val="30"/>
    </w:rPr>
  </w:style>
  <w:style w:type="paragraph" w:styleId="761">
    <w:name w:val="Heading 4"/>
    <w:basedOn w:val="923"/>
    <w:next w:val="923"/>
    <w:link w:val="76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62">
    <w:name w:val="Heading 4 Char"/>
    <w:basedOn w:val="926"/>
    <w:link w:val="761"/>
    <w:uiPriority w:val="9"/>
    <w:rPr>
      <w:rFonts w:ascii="Arial" w:hAnsi="Arial" w:eastAsia="Arial" w:cs="Arial"/>
      <w:b/>
      <w:bCs/>
      <w:sz w:val="26"/>
      <w:szCs w:val="26"/>
    </w:rPr>
  </w:style>
  <w:style w:type="paragraph" w:styleId="763">
    <w:name w:val="Heading 5"/>
    <w:basedOn w:val="923"/>
    <w:next w:val="923"/>
    <w:link w:val="76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64">
    <w:name w:val="Heading 5 Char"/>
    <w:basedOn w:val="926"/>
    <w:link w:val="763"/>
    <w:uiPriority w:val="9"/>
    <w:rPr>
      <w:rFonts w:ascii="Arial" w:hAnsi="Arial" w:eastAsia="Arial" w:cs="Arial"/>
      <w:b/>
      <w:bCs/>
      <w:sz w:val="24"/>
      <w:szCs w:val="24"/>
    </w:rPr>
  </w:style>
  <w:style w:type="paragraph" w:styleId="765">
    <w:name w:val="Heading 6"/>
    <w:basedOn w:val="923"/>
    <w:next w:val="923"/>
    <w:link w:val="76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66">
    <w:name w:val="Heading 6 Char"/>
    <w:basedOn w:val="926"/>
    <w:link w:val="765"/>
    <w:uiPriority w:val="9"/>
    <w:rPr>
      <w:rFonts w:ascii="Arial" w:hAnsi="Arial" w:eastAsia="Arial" w:cs="Arial"/>
      <w:b/>
      <w:bCs/>
      <w:sz w:val="22"/>
      <w:szCs w:val="22"/>
    </w:rPr>
  </w:style>
  <w:style w:type="paragraph" w:styleId="767">
    <w:name w:val="Heading 7"/>
    <w:basedOn w:val="923"/>
    <w:next w:val="923"/>
    <w:link w:val="76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8">
    <w:name w:val="Heading 7 Char"/>
    <w:basedOn w:val="926"/>
    <w:link w:val="76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69">
    <w:name w:val="Heading 8"/>
    <w:basedOn w:val="923"/>
    <w:next w:val="923"/>
    <w:link w:val="77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70">
    <w:name w:val="Heading 8 Char"/>
    <w:basedOn w:val="926"/>
    <w:link w:val="769"/>
    <w:uiPriority w:val="9"/>
    <w:rPr>
      <w:rFonts w:ascii="Arial" w:hAnsi="Arial" w:eastAsia="Arial" w:cs="Arial"/>
      <w:i/>
      <w:iCs/>
      <w:sz w:val="22"/>
      <w:szCs w:val="22"/>
    </w:rPr>
  </w:style>
  <w:style w:type="paragraph" w:styleId="771">
    <w:name w:val="Heading 9"/>
    <w:basedOn w:val="923"/>
    <w:next w:val="923"/>
    <w:link w:val="77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2">
    <w:name w:val="Heading 9 Char"/>
    <w:basedOn w:val="926"/>
    <w:link w:val="771"/>
    <w:uiPriority w:val="9"/>
    <w:rPr>
      <w:rFonts w:ascii="Arial" w:hAnsi="Arial" w:eastAsia="Arial" w:cs="Arial"/>
      <w:i/>
      <w:iCs/>
      <w:sz w:val="21"/>
      <w:szCs w:val="21"/>
    </w:rPr>
  </w:style>
  <w:style w:type="paragraph" w:styleId="773">
    <w:name w:val="Title"/>
    <w:basedOn w:val="923"/>
    <w:next w:val="923"/>
    <w:link w:val="7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4">
    <w:name w:val="Title Char"/>
    <w:basedOn w:val="926"/>
    <w:link w:val="773"/>
    <w:uiPriority w:val="10"/>
    <w:rPr>
      <w:sz w:val="48"/>
      <w:szCs w:val="48"/>
    </w:rPr>
  </w:style>
  <w:style w:type="paragraph" w:styleId="775">
    <w:name w:val="Subtitle"/>
    <w:basedOn w:val="923"/>
    <w:next w:val="923"/>
    <w:link w:val="776"/>
    <w:uiPriority w:val="11"/>
    <w:qFormat/>
    <w:pPr>
      <w:spacing w:before="200" w:after="200"/>
    </w:pPr>
    <w:rPr>
      <w:sz w:val="24"/>
      <w:szCs w:val="24"/>
    </w:rPr>
  </w:style>
  <w:style w:type="character" w:styleId="776">
    <w:name w:val="Subtitle Char"/>
    <w:basedOn w:val="926"/>
    <w:link w:val="775"/>
    <w:uiPriority w:val="11"/>
    <w:rPr>
      <w:sz w:val="24"/>
      <w:szCs w:val="24"/>
    </w:rPr>
  </w:style>
  <w:style w:type="paragraph" w:styleId="777">
    <w:name w:val="Quote"/>
    <w:basedOn w:val="923"/>
    <w:next w:val="923"/>
    <w:link w:val="778"/>
    <w:uiPriority w:val="29"/>
    <w:qFormat/>
    <w:pPr>
      <w:ind w:left="720" w:right="720"/>
    </w:pPr>
    <w:rPr>
      <w:i/>
    </w:rPr>
  </w:style>
  <w:style w:type="character" w:styleId="778">
    <w:name w:val="Quote Char"/>
    <w:link w:val="777"/>
    <w:uiPriority w:val="29"/>
    <w:rPr>
      <w:i/>
    </w:rPr>
  </w:style>
  <w:style w:type="paragraph" w:styleId="779">
    <w:name w:val="Intense Quote"/>
    <w:basedOn w:val="923"/>
    <w:next w:val="923"/>
    <w:link w:val="7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0">
    <w:name w:val="Intense Quote Char"/>
    <w:link w:val="779"/>
    <w:uiPriority w:val="30"/>
    <w:rPr>
      <w:i/>
    </w:rPr>
  </w:style>
  <w:style w:type="character" w:styleId="781">
    <w:name w:val="Header Char"/>
    <w:basedOn w:val="926"/>
    <w:link w:val="936"/>
    <w:uiPriority w:val="99"/>
  </w:style>
  <w:style w:type="character" w:styleId="782">
    <w:name w:val="Footer Char"/>
    <w:basedOn w:val="926"/>
    <w:link w:val="938"/>
    <w:uiPriority w:val="99"/>
  </w:style>
  <w:style w:type="paragraph" w:styleId="783">
    <w:name w:val="Caption"/>
    <w:basedOn w:val="923"/>
    <w:next w:val="923"/>
    <w:link w:val="78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84">
    <w:name w:val="Caption Char"/>
    <w:basedOn w:val="783"/>
    <w:link w:val="938"/>
    <w:uiPriority w:val="99"/>
  </w:style>
  <w:style w:type="table" w:styleId="785">
    <w:name w:val="Table Grid Light"/>
    <w:basedOn w:val="9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6">
    <w:name w:val="Plain Table 1"/>
    <w:basedOn w:val="9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7">
    <w:name w:val="Plain Table 2"/>
    <w:basedOn w:val="92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8">
    <w:name w:val="Plain Table 3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9">
    <w:name w:val="Plain Table 4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Plain Table 5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1">
    <w:name w:val="Grid Table 1 Light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Grid Table 1 Light - Accent 1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Grid Table 1 Light - Accent 2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Grid Table 1 Light - Accent 3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Grid Table 1 Light - Accent 4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Grid Table 1 Light - Accent 5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Grid Table 1 Light - Accent 6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Grid Table 2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2 - Accent 1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2 - Accent 2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2 - Accent 3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2 - Accent 4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2 - Accent 5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2 - Accent 6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3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3 - Accent 1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3 - Accent 2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3 - Accent 3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3 - Accent 4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3 - Accent 5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3 - Accent 6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4"/>
    <w:basedOn w:val="9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3">
    <w:name w:val="Grid Table 4 - Accent 1"/>
    <w:basedOn w:val="9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14">
    <w:name w:val="Grid Table 4 - Accent 2"/>
    <w:basedOn w:val="9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15">
    <w:name w:val="Grid Table 4 - Accent 3"/>
    <w:basedOn w:val="9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6">
    <w:name w:val="Grid Table 4 - Accent 4"/>
    <w:basedOn w:val="9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7">
    <w:name w:val="Grid Table 4 - Accent 5"/>
    <w:basedOn w:val="9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8">
    <w:name w:val="Grid Table 4 - Accent 6"/>
    <w:basedOn w:val="9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9">
    <w:name w:val="Grid Table 5 Dark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0">
    <w:name w:val="Grid Table 5 Dark- Accent 1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21">
    <w:name w:val="Grid Table 5 Dark - Accent 2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22">
    <w:name w:val="Grid Table 5 Dark - Accent 3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23">
    <w:name w:val="Grid Table 5 Dark- Accent 4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24">
    <w:name w:val="Grid Table 5 Dark - Accent 5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25">
    <w:name w:val="Grid Table 5 Dark - Accent 6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26">
    <w:name w:val="Grid Table 6 Colorful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27">
    <w:name w:val="Grid Table 6 Colorful - Accent 1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28">
    <w:name w:val="Grid Table 6 Colorful - Accent 2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29">
    <w:name w:val="Grid Table 6 Colorful - Accent 3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30">
    <w:name w:val="Grid Table 6 Colorful - Accent 4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31">
    <w:name w:val="Grid Table 6 Colorful - Accent 5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2">
    <w:name w:val="Grid Table 6 Colorful - Accent 6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3">
    <w:name w:val="Grid Table 7 Colorful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7 Colorful - Accent 1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Grid Table 7 Colorful - Accent 2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7 Colorful - Accent 3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Grid Table 7 Colorful - Accent 4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Grid Table 7 Colorful - Accent 5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Grid Table 7 Colorful - Accent 6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List Table 1 Light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List Table 1 Light - Accent 1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List Table 1 Light - Accent 2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List Table 1 Light - Accent 3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List Table 1 Light - Accent 4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List Table 1 Light - Accent 5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List Table 1 Light - Accent 6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List Table 2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48">
    <w:name w:val="List Table 2 - Accent 1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49">
    <w:name w:val="List Table 2 - Accent 2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50">
    <w:name w:val="List Table 2 - Accent 3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51">
    <w:name w:val="List Table 2 - Accent 4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52">
    <w:name w:val="List Table 2 - Accent 5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53">
    <w:name w:val="List Table 2 - Accent 6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54">
    <w:name w:val="List Table 3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3 - Accent 1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3 - Accent 2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3 - Accent 3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3 - Accent 4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3 - Accent 5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3 - Accent 6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4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4 - Accent 1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4 - Accent 2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4 - Accent 3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4 - Accent 4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4 - Accent 5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4 - Accent 6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5 Dark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9">
    <w:name w:val="List Table 5 Dark - Accent 1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0">
    <w:name w:val="List Table 5 Dark - Accent 2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1">
    <w:name w:val="List Table 5 Dark - Accent 3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2">
    <w:name w:val="List Table 5 Dark - Accent 4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3">
    <w:name w:val="List Table 5 Dark - Accent 5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4">
    <w:name w:val="List Table 5 Dark - Accent 6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5">
    <w:name w:val="List Table 6 Colorful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76">
    <w:name w:val="List Table 6 Colorful - Accent 1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7">
    <w:name w:val="List Table 6 Colorful - Accent 2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78">
    <w:name w:val="List Table 6 Colorful - Accent 3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79">
    <w:name w:val="List Table 6 Colorful - Accent 4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80">
    <w:name w:val="List Table 6 Colorful - Accent 5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81">
    <w:name w:val="List Table 6 Colorful - Accent 6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82">
    <w:name w:val="List Table 7 Colorful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83">
    <w:name w:val="List Table 7 Colorful - Accent 1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84">
    <w:name w:val="List Table 7 Colorful - Accent 2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85">
    <w:name w:val="List Table 7 Colorful - Accent 3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86">
    <w:name w:val="List Table 7 Colorful - Accent 4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87">
    <w:name w:val="List Table 7 Colorful - Accent 5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88">
    <w:name w:val="List Table 7 Colorful - Accent 6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89">
    <w:name w:val="Lined - Accent"/>
    <w:basedOn w:val="9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0">
    <w:name w:val="Lined - Accent 1"/>
    <w:basedOn w:val="9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91">
    <w:name w:val="Lined - Accent 2"/>
    <w:basedOn w:val="9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92">
    <w:name w:val="Lined - Accent 3"/>
    <w:basedOn w:val="9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93">
    <w:name w:val="Lined - Accent 4"/>
    <w:basedOn w:val="9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94">
    <w:name w:val="Lined - Accent 5"/>
    <w:basedOn w:val="9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95">
    <w:name w:val="Lined - Accent 6"/>
    <w:basedOn w:val="9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96">
    <w:name w:val="Bordered &amp; Lined - Accent"/>
    <w:basedOn w:val="9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7">
    <w:name w:val="Bordered &amp; Lined - Accent 1"/>
    <w:basedOn w:val="9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98">
    <w:name w:val="Bordered &amp; Lined - Accent 2"/>
    <w:basedOn w:val="9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99">
    <w:name w:val="Bordered &amp; Lined - Accent 3"/>
    <w:basedOn w:val="9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00">
    <w:name w:val="Bordered &amp; Lined - Accent 4"/>
    <w:basedOn w:val="9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01">
    <w:name w:val="Bordered &amp; Lined - Accent 5"/>
    <w:basedOn w:val="9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02">
    <w:name w:val="Bordered &amp; Lined - Accent 6"/>
    <w:basedOn w:val="9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03">
    <w:name w:val="Bordered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04">
    <w:name w:val="Bordered - Accent 1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05">
    <w:name w:val="Bordered - Accent 2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06">
    <w:name w:val="Bordered - Accent 3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07">
    <w:name w:val="Bordered - Accent 4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08">
    <w:name w:val="Bordered - Accent 5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09">
    <w:name w:val="Bordered - Accent 6"/>
    <w:basedOn w:val="9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10">
    <w:name w:val="Footnote Text Char"/>
    <w:link w:val="970"/>
    <w:uiPriority w:val="99"/>
    <w:rPr>
      <w:sz w:val="18"/>
    </w:rPr>
  </w:style>
  <w:style w:type="character" w:styleId="911">
    <w:name w:val="Endnote Text Char"/>
    <w:link w:val="975"/>
    <w:uiPriority w:val="99"/>
    <w:rPr>
      <w:sz w:val="20"/>
    </w:rPr>
  </w:style>
  <w:style w:type="paragraph" w:styleId="912">
    <w:name w:val="toc 1"/>
    <w:basedOn w:val="923"/>
    <w:next w:val="923"/>
    <w:uiPriority w:val="39"/>
    <w:unhideWhenUsed/>
    <w:pPr>
      <w:ind w:left="0" w:right="0" w:firstLine="0"/>
      <w:spacing w:after="57"/>
    </w:pPr>
  </w:style>
  <w:style w:type="paragraph" w:styleId="913">
    <w:name w:val="toc 2"/>
    <w:basedOn w:val="923"/>
    <w:next w:val="923"/>
    <w:uiPriority w:val="39"/>
    <w:unhideWhenUsed/>
    <w:pPr>
      <w:ind w:left="283" w:right="0" w:firstLine="0"/>
      <w:spacing w:after="57"/>
    </w:pPr>
  </w:style>
  <w:style w:type="paragraph" w:styleId="914">
    <w:name w:val="toc 3"/>
    <w:basedOn w:val="923"/>
    <w:next w:val="923"/>
    <w:uiPriority w:val="39"/>
    <w:unhideWhenUsed/>
    <w:pPr>
      <w:ind w:left="567" w:right="0" w:firstLine="0"/>
      <w:spacing w:after="57"/>
    </w:pPr>
  </w:style>
  <w:style w:type="paragraph" w:styleId="915">
    <w:name w:val="toc 4"/>
    <w:basedOn w:val="923"/>
    <w:next w:val="923"/>
    <w:uiPriority w:val="39"/>
    <w:unhideWhenUsed/>
    <w:pPr>
      <w:ind w:left="850" w:right="0" w:firstLine="0"/>
      <w:spacing w:after="57"/>
    </w:pPr>
  </w:style>
  <w:style w:type="paragraph" w:styleId="916">
    <w:name w:val="toc 5"/>
    <w:basedOn w:val="923"/>
    <w:next w:val="923"/>
    <w:uiPriority w:val="39"/>
    <w:unhideWhenUsed/>
    <w:pPr>
      <w:ind w:left="1134" w:right="0" w:firstLine="0"/>
      <w:spacing w:after="57"/>
    </w:pPr>
  </w:style>
  <w:style w:type="paragraph" w:styleId="917">
    <w:name w:val="toc 6"/>
    <w:basedOn w:val="923"/>
    <w:next w:val="923"/>
    <w:uiPriority w:val="39"/>
    <w:unhideWhenUsed/>
    <w:pPr>
      <w:ind w:left="1417" w:right="0" w:firstLine="0"/>
      <w:spacing w:after="57"/>
    </w:pPr>
  </w:style>
  <w:style w:type="paragraph" w:styleId="918">
    <w:name w:val="toc 7"/>
    <w:basedOn w:val="923"/>
    <w:next w:val="923"/>
    <w:uiPriority w:val="39"/>
    <w:unhideWhenUsed/>
    <w:pPr>
      <w:ind w:left="1701" w:right="0" w:firstLine="0"/>
      <w:spacing w:after="57"/>
    </w:pPr>
  </w:style>
  <w:style w:type="paragraph" w:styleId="919">
    <w:name w:val="toc 8"/>
    <w:basedOn w:val="923"/>
    <w:next w:val="923"/>
    <w:uiPriority w:val="39"/>
    <w:unhideWhenUsed/>
    <w:pPr>
      <w:ind w:left="1984" w:right="0" w:firstLine="0"/>
      <w:spacing w:after="57"/>
    </w:pPr>
  </w:style>
  <w:style w:type="paragraph" w:styleId="920">
    <w:name w:val="toc 9"/>
    <w:basedOn w:val="923"/>
    <w:next w:val="923"/>
    <w:uiPriority w:val="39"/>
    <w:unhideWhenUsed/>
    <w:pPr>
      <w:ind w:left="2268" w:right="0" w:firstLine="0"/>
      <w:spacing w:after="57"/>
    </w:pPr>
  </w:style>
  <w:style w:type="paragraph" w:styleId="921">
    <w:name w:val="TOC Heading"/>
    <w:uiPriority w:val="39"/>
    <w:unhideWhenUsed/>
  </w:style>
  <w:style w:type="paragraph" w:styleId="922">
    <w:name w:val="table of figures"/>
    <w:basedOn w:val="923"/>
    <w:next w:val="923"/>
    <w:uiPriority w:val="99"/>
    <w:unhideWhenUsed/>
    <w:pPr>
      <w:spacing w:after="0" w:afterAutospacing="0"/>
    </w:pPr>
  </w:style>
  <w:style w:type="paragraph" w:styleId="923" w:default="1">
    <w:name w:val="Normal"/>
    <w:qFormat/>
  </w:style>
  <w:style w:type="paragraph" w:styleId="924">
    <w:name w:val="Heading 1"/>
    <w:basedOn w:val="923"/>
    <w:link w:val="942"/>
    <w:uiPriority w:val="1"/>
    <w:qFormat/>
    <w:pPr>
      <w:spacing w:after="0" w:line="240" w:lineRule="auto"/>
      <w:widowControl w:val="off"/>
      <w:outlineLvl w:val="0"/>
    </w:pPr>
    <w:rPr>
      <w:rFonts w:ascii="Times New Roman" w:hAnsi="Times New Roman" w:eastAsia="Times New Roman" w:cs="Times New Roman"/>
      <w:b/>
      <w:bCs/>
      <w:sz w:val="24"/>
      <w:szCs w:val="24"/>
      <w:lang w:val="en-US"/>
    </w:rPr>
  </w:style>
  <w:style w:type="paragraph" w:styleId="925">
    <w:name w:val="Heading 2"/>
    <w:basedOn w:val="923"/>
    <w:next w:val="923"/>
    <w:link w:val="943"/>
    <w:uiPriority w:val="9"/>
    <w:semiHidden/>
    <w:unhideWhenUsed/>
    <w:qFormat/>
    <w:pPr>
      <w:keepNext/>
      <w:spacing w:before="240" w:after="60" w:line="276" w:lineRule="auto"/>
      <w:outlineLvl w:val="1"/>
    </w:pPr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926" w:default="1">
    <w:name w:val="Default Paragraph Font"/>
    <w:uiPriority w:val="1"/>
    <w:semiHidden/>
    <w:unhideWhenUsed/>
  </w:style>
  <w:style w:type="table" w:styleId="92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28" w:default="1">
    <w:name w:val="No List"/>
    <w:uiPriority w:val="99"/>
    <w:semiHidden/>
    <w:unhideWhenUsed/>
  </w:style>
  <w:style w:type="table" w:styleId="929">
    <w:name w:val="Table Grid"/>
    <w:basedOn w:val="927"/>
    <w:uiPriority w:val="3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30" w:customStyle="1">
    <w:name w:val="Сетка таблицы6"/>
    <w:basedOn w:val="927"/>
    <w:next w:val="929"/>
    <w:uiPriority w:val="3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31" w:customStyle="1">
    <w:name w:val="Сетка таблицы1"/>
    <w:basedOn w:val="927"/>
    <w:next w:val="92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932">
    <w:name w:val="Hyperlink"/>
    <w:basedOn w:val="926"/>
    <w:uiPriority w:val="99"/>
    <w:unhideWhenUsed/>
    <w:rPr>
      <w:color w:val="0563c1" w:themeColor="hyperlink"/>
      <w:u w:val="single"/>
    </w:rPr>
  </w:style>
  <w:style w:type="character" w:styleId="933">
    <w:name w:val="FollowedHyperlink"/>
    <w:basedOn w:val="926"/>
    <w:uiPriority w:val="99"/>
    <w:semiHidden/>
    <w:unhideWhenUsed/>
    <w:rPr>
      <w:color w:val="800080"/>
      <w:u w:val="single"/>
    </w:rPr>
  </w:style>
  <w:style w:type="paragraph" w:styleId="934" w:customStyle="1">
    <w:name w:val="xl65"/>
    <w:basedOn w:val="923"/>
    <w:pPr>
      <w:spacing w:before="100" w:beforeAutospacing="1" w:after="100" w:afterAutospacing="1" w:line="240" w:lineRule="auto"/>
      <w:pBdr>
        <w:top w:val="single" w:color="D0D7E5" w:sz="4" w:space="0"/>
        <w:left w:val="single" w:color="D0D7E5" w:sz="4" w:space="0"/>
        <w:bottom w:val="single" w:color="D0D7E5" w:sz="4" w:space="0"/>
        <w:right w:val="single" w:color="D0D7E5" w:sz="4" w:space="0"/>
      </w:pBdr>
    </w:pPr>
    <w:rPr>
      <w:rFonts w:ascii="Calibri" w:hAnsi="Calibri" w:eastAsia="Times New Roman" w:cs="Times New Roman"/>
      <w:color w:val="000000"/>
      <w:lang w:eastAsia="ru-RU"/>
    </w:rPr>
  </w:style>
  <w:style w:type="paragraph" w:styleId="935" w:customStyle="1">
    <w:name w:val="xl66"/>
    <w:basedOn w:val="923"/>
    <w:pPr>
      <w:spacing w:before="100" w:beforeAutospacing="1" w:after="100" w:afterAutospacing="1" w:line="240" w:lineRule="auto"/>
      <w:pBdr>
        <w:top w:val="single" w:color="D0D7E5" w:sz="4" w:space="0"/>
        <w:left w:val="single" w:color="D0D7E5" w:sz="4" w:space="0"/>
        <w:bottom w:val="single" w:color="D0D7E5" w:sz="4" w:space="0"/>
        <w:right w:val="single" w:color="D0D7E5" w:sz="4" w:space="0"/>
      </w:pBdr>
    </w:pPr>
    <w:rPr>
      <w:rFonts w:ascii="Calibri" w:hAnsi="Calibri" w:eastAsia="Times New Roman" w:cs="Times New Roman"/>
      <w:color w:val="000000"/>
      <w:lang w:eastAsia="ru-RU"/>
    </w:rPr>
  </w:style>
  <w:style w:type="paragraph" w:styleId="936">
    <w:name w:val="Header"/>
    <w:basedOn w:val="923"/>
    <w:link w:val="93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37" w:customStyle="1">
    <w:name w:val="Верхний колонтитул Знак"/>
    <w:basedOn w:val="926"/>
    <w:link w:val="936"/>
    <w:uiPriority w:val="99"/>
  </w:style>
  <w:style w:type="paragraph" w:styleId="938">
    <w:name w:val="Footer"/>
    <w:basedOn w:val="923"/>
    <w:link w:val="93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39" w:customStyle="1">
    <w:name w:val="Нижний колонтитул Знак"/>
    <w:basedOn w:val="926"/>
    <w:link w:val="938"/>
    <w:uiPriority w:val="99"/>
  </w:style>
  <w:style w:type="paragraph" w:styleId="940">
    <w:name w:val="List Paragraph"/>
    <w:basedOn w:val="923"/>
    <w:uiPriority w:val="34"/>
    <w:qFormat/>
    <w:pPr>
      <w:contextualSpacing/>
      <w:ind w:left="720"/>
    </w:pPr>
  </w:style>
  <w:style w:type="paragraph" w:styleId="941" w:customStyle="1">
    <w:name w:val="ConsPlusNormal"/>
    <w:link w:val="981"/>
    <w:qFormat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942" w:customStyle="1">
    <w:name w:val="Заголовок 1 Знак"/>
    <w:basedOn w:val="926"/>
    <w:link w:val="924"/>
    <w:uiPriority w:val="1"/>
    <w:rPr>
      <w:rFonts w:ascii="Times New Roman" w:hAnsi="Times New Roman" w:eastAsia="Times New Roman" w:cs="Times New Roman"/>
      <w:b/>
      <w:bCs/>
      <w:sz w:val="24"/>
      <w:szCs w:val="24"/>
      <w:lang w:val="en-US"/>
    </w:rPr>
  </w:style>
  <w:style w:type="character" w:styleId="943" w:customStyle="1">
    <w:name w:val="Заголовок 2 Знак"/>
    <w:basedOn w:val="926"/>
    <w:link w:val="925"/>
    <w:uiPriority w:val="9"/>
    <w:semiHidden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944" w:customStyle="1">
    <w:name w:val="Основной текст_"/>
    <w:basedOn w:val="926"/>
    <w:link w:val="945"/>
    <w:rPr>
      <w:rFonts w:ascii="Times New Roman" w:hAnsi="Times New Roman" w:eastAsia="Times New Roman" w:cs="Times New Roman"/>
      <w:shd w:val="clear" w:color="auto" w:fill="ffffff"/>
    </w:rPr>
  </w:style>
  <w:style w:type="paragraph" w:styleId="945" w:customStyle="1">
    <w:name w:val="Основной текст13"/>
    <w:basedOn w:val="923"/>
    <w:link w:val="944"/>
    <w:pPr>
      <w:ind w:hanging="620"/>
      <w:spacing w:before="780" w:after="60" w:line="0" w:lineRule="atLeast"/>
      <w:shd w:val="clear" w:color="auto" w:fill="ffffff"/>
    </w:pPr>
    <w:rPr>
      <w:rFonts w:ascii="Times New Roman" w:hAnsi="Times New Roman" w:eastAsia="Times New Roman" w:cs="Times New Roman"/>
    </w:rPr>
  </w:style>
  <w:style w:type="character" w:styleId="946" w:customStyle="1">
    <w:name w:val="Заголовок №4_"/>
    <w:basedOn w:val="926"/>
    <w:link w:val="948"/>
    <w:rPr>
      <w:rFonts w:ascii="Times New Roman" w:hAnsi="Times New Roman" w:eastAsia="Times New Roman" w:cs="Times New Roman"/>
      <w:shd w:val="clear" w:color="auto" w:fill="ffffff"/>
    </w:rPr>
  </w:style>
  <w:style w:type="character" w:styleId="947" w:customStyle="1">
    <w:name w:val="Основной текст + 8 pt;Полужирный"/>
    <w:basedOn w:val="944"/>
    <w:rPr>
      <w:rFonts w:ascii="Times New Roman" w:hAnsi="Times New Roman" w:eastAsia="Times New Roman" w:cs="Times New Roman"/>
      <w:b/>
      <w:bCs/>
      <w:sz w:val="16"/>
      <w:szCs w:val="16"/>
      <w:shd w:val="clear" w:color="auto" w:fill="ffffff"/>
    </w:rPr>
  </w:style>
  <w:style w:type="paragraph" w:styleId="948" w:customStyle="1">
    <w:name w:val="Заголовок №4"/>
    <w:basedOn w:val="923"/>
    <w:link w:val="946"/>
    <w:pPr>
      <w:jc w:val="both"/>
      <w:spacing w:after="0" w:line="274" w:lineRule="exact"/>
      <w:shd w:val="clear" w:color="auto" w:fill="ffffff"/>
      <w:outlineLvl w:val="3"/>
    </w:pPr>
    <w:rPr>
      <w:rFonts w:ascii="Times New Roman" w:hAnsi="Times New Roman" w:eastAsia="Times New Roman" w:cs="Times New Roman"/>
    </w:rPr>
  </w:style>
  <w:style w:type="character" w:styleId="949" w:customStyle="1">
    <w:name w:val="Основной текст4"/>
    <w:basedOn w:val="94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styleId="950" w:customStyle="1">
    <w:name w:val="Основной текст (2)_"/>
    <w:basedOn w:val="926"/>
    <w:link w:val="956"/>
    <w:rPr>
      <w:rFonts w:ascii="Times New Roman" w:hAnsi="Times New Roman" w:eastAsia="Times New Roman" w:cs="Times New Roman"/>
      <w:shd w:val="clear" w:color="auto" w:fill="ffffff"/>
    </w:rPr>
  </w:style>
  <w:style w:type="character" w:styleId="951" w:customStyle="1">
    <w:name w:val="Заголовок №2_"/>
    <w:basedOn w:val="926"/>
    <w:link w:val="957"/>
    <w:rPr>
      <w:rFonts w:ascii="Times New Roman" w:hAnsi="Times New Roman" w:eastAsia="Times New Roman" w:cs="Times New Roman"/>
      <w:sz w:val="27"/>
      <w:szCs w:val="27"/>
      <w:shd w:val="clear" w:color="auto" w:fill="ffffff"/>
    </w:rPr>
  </w:style>
  <w:style w:type="character" w:styleId="952" w:customStyle="1">
    <w:name w:val="Основной текст (5)_"/>
    <w:basedOn w:val="926"/>
    <w:link w:val="958"/>
    <w:rPr>
      <w:rFonts w:ascii="Times New Roman" w:hAnsi="Times New Roman" w:eastAsia="Times New Roman" w:cs="Times New Roman"/>
      <w:sz w:val="21"/>
      <w:szCs w:val="21"/>
      <w:shd w:val="clear" w:color="auto" w:fill="ffffff"/>
    </w:rPr>
  </w:style>
  <w:style w:type="character" w:styleId="953" w:customStyle="1">
    <w:name w:val="Основной текст (5) + 11 pt;Не курсив"/>
    <w:basedOn w:val="952"/>
    <w:rPr>
      <w:rFonts w:ascii="Times New Roman" w:hAnsi="Times New Roman" w:eastAsia="Times New Roman" w:cs="Times New Roman"/>
      <w:i/>
      <w:iCs/>
      <w:spacing w:val="0"/>
      <w:sz w:val="22"/>
      <w:szCs w:val="22"/>
      <w:shd w:val="clear" w:color="auto" w:fill="ffffff"/>
    </w:rPr>
  </w:style>
  <w:style w:type="character" w:styleId="954" w:customStyle="1">
    <w:name w:val="Основной текст10"/>
    <w:basedOn w:val="94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  <w:shd w:val="clear" w:color="auto" w:fill="ffffff"/>
    </w:rPr>
  </w:style>
  <w:style w:type="character" w:styleId="955" w:customStyle="1">
    <w:name w:val="Основной текст11"/>
    <w:basedOn w:val="94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  <w:shd w:val="clear" w:color="auto" w:fill="ffffff"/>
    </w:rPr>
  </w:style>
  <w:style w:type="paragraph" w:styleId="956" w:customStyle="1">
    <w:name w:val="Основной текст (2)"/>
    <w:basedOn w:val="923"/>
    <w:link w:val="950"/>
    <w:pPr>
      <w:spacing w:after="1140" w:line="0" w:lineRule="atLeast"/>
      <w:shd w:val="clear" w:color="auto" w:fill="ffffff"/>
    </w:pPr>
    <w:rPr>
      <w:rFonts w:ascii="Times New Roman" w:hAnsi="Times New Roman" w:eastAsia="Times New Roman" w:cs="Times New Roman"/>
    </w:rPr>
  </w:style>
  <w:style w:type="paragraph" w:styleId="957" w:customStyle="1">
    <w:name w:val="Заголовок №2"/>
    <w:basedOn w:val="923"/>
    <w:link w:val="951"/>
    <w:pPr>
      <w:ind w:hanging="380"/>
      <w:spacing w:after="360" w:line="0" w:lineRule="atLeast"/>
      <w:shd w:val="clear" w:color="auto" w:fill="ffffff"/>
      <w:outlineLvl w:val="1"/>
    </w:pPr>
    <w:rPr>
      <w:rFonts w:ascii="Times New Roman" w:hAnsi="Times New Roman" w:eastAsia="Times New Roman" w:cs="Times New Roman"/>
      <w:sz w:val="27"/>
      <w:szCs w:val="27"/>
    </w:rPr>
  </w:style>
  <w:style w:type="paragraph" w:styleId="958" w:customStyle="1">
    <w:name w:val="Основной текст (5)"/>
    <w:basedOn w:val="923"/>
    <w:link w:val="952"/>
    <w:pPr>
      <w:jc w:val="both"/>
      <w:spacing w:before="480" w:after="0" w:line="269" w:lineRule="exact"/>
      <w:shd w:val="clear" w:color="auto" w:fill="ffffff"/>
    </w:pPr>
    <w:rPr>
      <w:rFonts w:ascii="Times New Roman" w:hAnsi="Times New Roman" w:eastAsia="Times New Roman" w:cs="Times New Roman"/>
      <w:sz w:val="21"/>
      <w:szCs w:val="21"/>
    </w:rPr>
  </w:style>
  <w:style w:type="character" w:styleId="959" w:customStyle="1">
    <w:name w:val="Сноска_"/>
    <w:basedOn w:val="926"/>
    <w:link w:val="960"/>
    <w:rPr>
      <w:rFonts w:ascii="Times New Roman" w:hAnsi="Times New Roman" w:eastAsia="Times New Roman" w:cs="Times New Roman"/>
      <w:shd w:val="clear" w:color="auto" w:fill="ffffff"/>
    </w:rPr>
  </w:style>
  <w:style w:type="paragraph" w:styleId="960" w:customStyle="1">
    <w:name w:val="Сноска"/>
    <w:basedOn w:val="923"/>
    <w:link w:val="959"/>
    <w:pPr>
      <w:spacing w:after="0" w:line="250" w:lineRule="exact"/>
      <w:shd w:val="clear" w:color="auto" w:fill="ffffff"/>
    </w:pPr>
    <w:rPr>
      <w:rFonts w:ascii="Times New Roman" w:hAnsi="Times New Roman" w:eastAsia="Times New Roman" w:cs="Times New Roman"/>
    </w:rPr>
  </w:style>
  <w:style w:type="paragraph" w:styleId="961" w:customStyle="1">
    <w:name w:val="s_1"/>
    <w:basedOn w:val="92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62">
    <w:name w:val="Body Text"/>
    <w:basedOn w:val="923"/>
    <w:link w:val="963"/>
    <w:uiPriority w:val="1"/>
    <w:qFormat/>
    <w:pPr>
      <w:ind w:left="118" w:firstLine="708"/>
      <w:spacing w:before="1" w:after="0" w:line="240" w:lineRule="auto"/>
      <w:widowControl w:val="off"/>
    </w:pPr>
    <w:rPr>
      <w:rFonts w:ascii="Times New Roman" w:hAnsi="Times New Roman" w:eastAsia="Times New Roman" w:cs="Times New Roman"/>
      <w:sz w:val="28"/>
      <w:szCs w:val="28"/>
      <w:lang w:val="en-US"/>
    </w:rPr>
  </w:style>
  <w:style w:type="character" w:styleId="963" w:customStyle="1">
    <w:name w:val="Основной текст Знак"/>
    <w:basedOn w:val="926"/>
    <w:link w:val="962"/>
    <w:uiPriority w:val="1"/>
    <w:rPr>
      <w:rFonts w:ascii="Times New Roman" w:hAnsi="Times New Roman" w:eastAsia="Times New Roman" w:cs="Times New Roman"/>
      <w:sz w:val="28"/>
      <w:szCs w:val="28"/>
      <w:lang w:val="en-US"/>
    </w:rPr>
  </w:style>
  <w:style w:type="paragraph" w:styleId="964" w:customStyle="1">
    <w:name w:val="Default"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character" w:styleId="965" w:customStyle="1">
    <w:name w:val="hps"/>
    <w:basedOn w:val="926"/>
  </w:style>
  <w:style w:type="character" w:styleId="966" w:customStyle="1">
    <w:name w:val="hps atn"/>
    <w:basedOn w:val="926"/>
  </w:style>
  <w:style w:type="character" w:styleId="967" w:customStyle="1">
    <w:name w:val="Цветовое выделение для Нормальный"/>
    <w:uiPriority w:val="99"/>
    <w:rPr>
      <w:sz w:val="20"/>
      <w:szCs w:val="20"/>
    </w:rPr>
  </w:style>
  <w:style w:type="table" w:styleId="968" w:customStyle="1">
    <w:name w:val="Table Normal1"/>
    <w:uiPriority w:val="2"/>
    <w:semiHidden/>
    <w:unhideWhenUsed/>
    <w:qFormat/>
    <w:pPr>
      <w:spacing w:after="0" w:line="240" w:lineRule="auto"/>
      <w:widowControl w:val="off"/>
    </w:pPr>
    <w:rPr>
      <w:rFonts w:ascii="Calibri" w:hAnsi="Calibri" w:eastAsia="Calibri" w:cs="Times New Roman"/>
      <w:lang w:val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969" w:customStyle="1">
    <w:name w:val="Table Paragraph"/>
    <w:basedOn w:val="923"/>
    <w:uiPriority w:val="1"/>
    <w:qFormat/>
    <w:pPr>
      <w:spacing w:after="0" w:line="240" w:lineRule="auto"/>
      <w:widowControl w:val="off"/>
    </w:pPr>
    <w:rPr>
      <w:rFonts w:ascii="Calibri" w:hAnsi="Calibri" w:eastAsia="Calibri" w:cs="Times New Roman"/>
      <w:lang w:val="en-US"/>
    </w:rPr>
  </w:style>
  <w:style w:type="paragraph" w:styleId="970">
    <w:name w:val="footnote text"/>
    <w:basedOn w:val="923"/>
    <w:link w:val="971"/>
    <w:uiPriority w:val="99"/>
    <w:semiHidden/>
    <w:unhideWhenUsed/>
    <w:pPr>
      <w:spacing w:after="0" w:line="240" w:lineRule="auto"/>
    </w:pPr>
    <w:rPr>
      <w:rFonts w:ascii="Calibri" w:hAnsi="Calibri" w:eastAsia="Calibri" w:cs="Times New Roman"/>
      <w:sz w:val="20"/>
      <w:szCs w:val="20"/>
    </w:rPr>
  </w:style>
  <w:style w:type="character" w:styleId="971" w:customStyle="1">
    <w:name w:val="Текст сноски Знак"/>
    <w:basedOn w:val="926"/>
    <w:link w:val="970"/>
    <w:uiPriority w:val="99"/>
    <w:semiHidden/>
    <w:rPr>
      <w:rFonts w:ascii="Calibri" w:hAnsi="Calibri" w:eastAsia="Calibri" w:cs="Times New Roman"/>
      <w:sz w:val="20"/>
      <w:szCs w:val="20"/>
    </w:rPr>
  </w:style>
  <w:style w:type="character" w:styleId="972">
    <w:name w:val="footnote reference"/>
    <w:unhideWhenUsed/>
    <w:qFormat/>
    <w:rPr>
      <w:vertAlign w:val="superscript"/>
    </w:rPr>
  </w:style>
  <w:style w:type="paragraph" w:styleId="973">
    <w:name w:val="Balloon Text"/>
    <w:basedOn w:val="923"/>
    <w:link w:val="974"/>
    <w:uiPriority w:val="99"/>
    <w:semiHidden/>
    <w:unhideWhenUsed/>
    <w:pPr>
      <w:spacing w:after="0" w:line="240" w:lineRule="auto"/>
    </w:pPr>
    <w:rPr>
      <w:rFonts w:ascii="Tahoma" w:hAnsi="Tahoma" w:eastAsia="Calibri" w:cs="Times New Roman"/>
      <w:sz w:val="16"/>
      <w:szCs w:val="16"/>
    </w:rPr>
  </w:style>
  <w:style w:type="character" w:styleId="974" w:customStyle="1">
    <w:name w:val="Текст выноски Знак"/>
    <w:basedOn w:val="926"/>
    <w:link w:val="973"/>
    <w:uiPriority w:val="99"/>
    <w:semiHidden/>
    <w:rPr>
      <w:rFonts w:ascii="Tahoma" w:hAnsi="Tahoma" w:eastAsia="Calibri" w:cs="Times New Roman"/>
      <w:sz w:val="16"/>
      <w:szCs w:val="16"/>
    </w:rPr>
  </w:style>
  <w:style w:type="paragraph" w:styleId="975">
    <w:name w:val="endnote text"/>
    <w:basedOn w:val="923"/>
    <w:link w:val="976"/>
    <w:uiPriority w:val="99"/>
    <w:semiHidden/>
    <w:unhideWhenUsed/>
    <w:pPr>
      <w:spacing w:after="0" w:line="240" w:lineRule="auto"/>
    </w:pPr>
    <w:rPr>
      <w:rFonts w:ascii="Calibri" w:hAnsi="Calibri" w:eastAsia="Calibri" w:cs="Times New Roman"/>
      <w:sz w:val="20"/>
      <w:szCs w:val="20"/>
    </w:rPr>
  </w:style>
  <w:style w:type="character" w:styleId="976" w:customStyle="1">
    <w:name w:val="Текст концевой сноски Знак"/>
    <w:basedOn w:val="926"/>
    <w:link w:val="975"/>
    <w:uiPriority w:val="99"/>
    <w:semiHidden/>
    <w:rPr>
      <w:rFonts w:ascii="Calibri" w:hAnsi="Calibri" w:eastAsia="Calibri" w:cs="Times New Roman"/>
      <w:sz w:val="20"/>
      <w:szCs w:val="20"/>
    </w:rPr>
  </w:style>
  <w:style w:type="character" w:styleId="977">
    <w:name w:val="endnote reference"/>
    <w:uiPriority w:val="99"/>
    <w:semiHidden/>
    <w:unhideWhenUsed/>
    <w:rPr>
      <w:vertAlign w:val="superscript"/>
    </w:rPr>
  </w:style>
  <w:style w:type="paragraph" w:styleId="978" w:customStyle="1">
    <w:name w:val="Standard"/>
    <w:qFormat/>
    <w:pPr>
      <w:spacing w:line="252" w:lineRule="auto"/>
    </w:pPr>
    <w:rPr>
      <w:rFonts w:ascii="Calibri" w:hAnsi="Calibri" w:eastAsia="Calibri" w:cs="Tahoma"/>
      <w:color w:val="00000a"/>
    </w:rPr>
  </w:style>
  <w:style w:type="paragraph" w:styleId="979">
    <w:name w:val="No Spacing"/>
    <w:uiPriority w:val="1"/>
    <w:qFormat/>
    <w:pPr>
      <w:spacing w:after="0" w:line="240" w:lineRule="auto"/>
    </w:pPr>
    <w:rPr>
      <w:rFonts w:ascii="Calibri" w:hAnsi="Calibri" w:eastAsia="Calibri" w:cs="Times New Roman"/>
    </w:rPr>
  </w:style>
  <w:style w:type="character" w:styleId="980">
    <w:name w:val="Strong"/>
    <w:uiPriority w:val="22"/>
    <w:qFormat/>
    <w:rPr>
      <w:b/>
      <w:bCs/>
    </w:rPr>
  </w:style>
  <w:style w:type="character" w:styleId="981" w:customStyle="1">
    <w:name w:val="ConsPlusNormal Знак"/>
    <w:link w:val="941"/>
    <w:rPr>
      <w:rFonts w:ascii="Times New Roman" w:hAnsi="Times New Roman" w:cs="Times New Roman"/>
      <w:sz w:val="24"/>
      <w:szCs w:val="24"/>
    </w:rPr>
  </w:style>
  <w:style w:type="character" w:styleId="982" w:customStyle="1">
    <w:name w:val="blk"/>
    <w:basedOn w:val="926"/>
  </w:style>
  <w:style w:type="character" w:styleId="983" w:customStyle="1">
    <w:name w:val="iceouttxt6"/>
    <w:basedOn w:val="926"/>
    <w:rPr>
      <w:rFonts w:hint="default" w:ascii="Arial" w:hAnsi="Arial" w:cs="Arial"/>
      <w:color w:val="666666"/>
      <w:sz w:val="14"/>
      <w:szCs w:val="1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mailto:pochta@minenergo.e-zab.ru" TargetMode="External"/><Relationship Id="rId12" Type="http://schemas.openxmlformats.org/officeDocument/2006/relationships/hyperlink" Target="http://zakupki.gov.ru/" TargetMode="External"/><Relationship Id="rId13" Type="http://schemas.openxmlformats.org/officeDocument/2006/relationships/hyperlink" Target="http://www.rts-tender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A3268-CFB3-4F85-AD7F-E8A79983A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pc004</dc:creator>
  <cp:lastModifiedBy>keo</cp:lastModifiedBy>
  <cp:revision>138</cp:revision>
  <dcterms:created xsi:type="dcterms:W3CDTF">2019-04-09T02:18:00Z</dcterms:created>
  <dcterms:modified xsi:type="dcterms:W3CDTF">2026-05-04T05:59:42Z</dcterms:modified>
</cp:coreProperties>
</file>