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387"/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387"/>
        <w:jc w:val="center"/>
        <w:spacing w:after="0" w:line="240" w:lineRule="auto"/>
        <w:rPr>
          <w:rFonts w:ascii="Times New Roman" w:hAnsi="Times New Roman" w:cs="Times New Roman"/>
          <w:color w:val="00000a"/>
          <w:sz w:val="24"/>
          <w:szCs w:val="24"/>
        </w:rPr>
      </w:pPr>
      <w:r>
        <w:rPr>
          <w:rFonts w:ascii="Times New Roman" w:hAnsi="Times New Roman" w:cs="Times New Roman"/>
          <w:color w:val="00000a"/>
          <w:sz w:val="24"/>
          <w:szCs w:val="24"/>
        </w:rPr>
        <w:t xml:space="preserve">п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риказом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Министерства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жилищно-коммунального хозяйства, энергетики, цифровизации и связи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 Забайкальского </w:t>
      </w:r>
      <w:r>
        <w:rPr>
          <w:rFonts w:ascii="Times New Roman" w:hAnsi="Times New Roman" w:cs="Times New Roman"/>
          <w:color w:val="00000a"/>
          <w:sz w:val="24"/>
          <w:szCs w:val="24"/>
        </w:rPr>
        <w:t xml:space="preserve">края</w:t>
      </w:r>
      <w:r>
        <w:rPr>
          <w:rFonts w:ascii="Times New Roman" w:hAnsi="Times New Roman" w:cs="Times New Roman"/>
          <w:color w:val="00000a"/>
          <w:sz w:val="24"/>
          <w:szCs w:val="24"/>
        </w:rPr>
      </w:r>
      <w:r>
        <w:rPr>
          <w:rFonts w:ascii="Times New Roman" w:hAnsi="Times New Roman" w:cs="Times New Roman"/>
          <w:color w:val="00000a"/>
          <w:sz w:val="24"/>
          <w:szCs w:val="24"/>
        </w:rPr>
      </w:r>
    </w:p>
    <w:p>
      <w:pPr>
        <w:ind w:left="5387"/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04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 мая</w:t>
      </w:r>
      <w:r>
        <w:rPr>
          <w:rFonts w:ascii="Times New Roman" w:hAnsi="Times New Roman" w:cs="Times New Roman"/>
          <w:sz w:val="24"/>
          <w:szCs w:val="24"/>
        </w:rPr>
        <w:t xml:space="preserve"> 2026 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№</w:t>
      </w:r>
      <w:r>
        <w:rPr>
          <w:rFonts w:ascii="Times New Roman" w:hAnsi="Times New Roman" w:cs="Times New Roman"/>
          <w:sz w:val="24"/>
          <w:szCs w:val="24"/>
        </w:rPr>
        <w:t xml:space="preserve"> 40 о.д.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387"/>
        <w:jc w:val="center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</w:r>
      <w:r>
        <w:rPr>
          <w:rFonts w:ascii="Times New Roman" w:hAnsi="Times New Roman" w:cs="Times New Roman"/>
          <w:sz w:val="24"/>
          <w:szCs w:val="24"/>
          <w:u w:val="single"/>
        </w:rPr>
      </w:r>
      <w:r>
        <w:rPr>
          <w:rFonts w:ascii="Times New Roman" w:hAnsi="Times New Roman" w:cs="Times New Roman"/>
          <w:sz w:val="24"/>
          <w:szCs w:val="24"/>
          <w:u w:val="single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ДОКУМЕНТАЦИЯ О ПРОВЕДЕНИИ ПРЕДВАРИТЕЛЬНОГО ОТБОРА</w:t>
      </w:r>
      <w:r>
        <w:rPr>
          <w:rFonts w:ascii="Times New Roman" w:hAnsi="Times New Roman" w:eastAsia="Calibri" w:cs="Times New Roman"/>
          <w:b/>
          <w:sz w:val="24"/>
          <w:szCs w:val="24"/>
        </w:rPr>
        <w:br/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ПОДРЯДНЫХ ОРГАНИЗАЦИЙ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№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4-ПО(2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).ЛО.20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2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6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для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включения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оказание услуг и (или) выполнение работ по ремонту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замене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модернизации лифтов, ремонту лифтовых шахт, машинных и блочных помещений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  <w:highlight w:val="none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г. Чита, 2026</w:t>
      </w:r>
      <w:r>
        <w:rPr>
          <w:rFonts w:ascii="Times New Roman" w:hAnsi="Times New Roman" w:eastAsia="Calibri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eastAsia="Calibri" w:cs="Times New Roman"/>
          <w:b/>
          <w:bCs/>
          <w:sz w:val="24"/>
          <w:szCs w:val="24"/>
          <w:highlight w:val="none"/>
        </w:rPr>
      </w:r>
    </w:p>
    <w:p>
      <w:pPr>
        <w:numPr>
          <w:ilvl w:val="0"/>
          <w:numId w:val="6"/>
        </w:numPr>
        <w:ind w:left="0" w:firstLine="0"/>
        <w:jc w:val="center"/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Общие положения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Настоящая документация о проведении предварительного отбора подрядных организаций утверждена в целях проведения предварительного отбора подрядных организаций для включения в реестр квалифицированных подрядных организаций, имеющих </w:t>
      </w:r>
      <w:r>
        <w:rPr>
          <w:rFonts w:ascii="Times New Roman" w:hAnsi="Times New Roman" w:eastAsia="Calibri" w:cs="Times New Roman"/>
          <w:sz w:val="24"/>
          <w:szCs w:val="24"/>
        </w:rPr>
        <w:t xml:space="preserve">право принимать участие в электронных аукционах, предметом которых является оказание услуг и (или) выполнение работ по </w:t>
      </w:r>
      <w:r>
        <w:rPr>
          <w:rFonts w:ascii="Times New Roman" w:hAnsi="Times New Roman" w:cs="Times New Roman"/>
          <w:sz w:val="24"/>
          <w:szCs w:val="24"/>
        </w:rPr>
        <w:t xml:space="preserve">ремонту</w:t>
      </w:r>
      <w:r>
        <w:rPr>
          <w:rFonts w:ascii="Times New Roman" w:hAnsi="Times New Roman" w:cs="Times New Roman"/>
          <w:bCs/>
          <w:sz w:val="24"/>
          <w:szCs w:val="24"/>
        </w:rPr>
        <w:t xml:space="preserve">, замене, модернизации лифтов, ремонту лифтовых шахт, машинных и блочных помещений</w:t>
      </w:r>
      <w:r>
        <w:rPr>
          <w:rFonts w:ascii="Times New Roman" w:hAnsi="Times New Roman" w:eastAsia="Calibri" w:cs="Times New Roman"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</w:rPr>
        <w:t xml:space="preserve">(далее – Документация о проведении</w:t>
      </w:r>
      <w:r>
        <w:rPr>
          <w:rFonts w:ascii="Times New Roman" w:hAnsi="Times New Roman" w:eastAsia="Calibri" w:cs="Times New Roman"/>
          <w:sz w:val="24"/>
          <w:szCs w:val="24"/>
        </w:rPr>
        <w:t xml:space="preserve"> предварительного отбора, предварительный отбор</w:t>
      </w:r>
      <w:r>
        <w:rPr>
          <w:rFonts w:ascii="Times New Roman" w:hAnsi="Times New Roman" w:eastAsia="Calibri" w:cs="Times New Roman"/>
          <w:sz w:val="24"/>
          <w:szCs w:val="24"/>
        </w:rPr>
        <w:t xml:space="preserve">, электронный аукцион</w:t>
      </w:r>
      <w:r>
        <w:rPr>
          <w:rFonts w:ascii="Times New Roman" w:hAnsi="Times New Roman" w:eastAsia="Calibri" w:cs="Times New Roman"/>
          <w:sz w:val="24"/>
          <w:szCs w:val="24"/>
        </w:rPr>
        <w:t xml:space="preserve">).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284" w:leader="none"/>
          <w:tab w:val="left" w:pos="993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Исполнительным органом государственной власти Забайкальского края, уполномоченным на ведение реестра квалифицированных подрядных организаций (далее – РКПО, орган по ведению РКПО)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является Министерство 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жилищно-коммунального хозяйства, энергетики, цифровизации и связи</w:t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 Забайкальского края</w:t>
      </w:r>
      <w:r>
        <w:rPr>
          <w:rFonts w:ascii="Times New Roman" w:hAnsi="Times New Roman" w:eastAsia="Calibri" w:cs="Times New Roman"/>
          <w:sz w:val="24"/>
          <w:szCs w:val="24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284" w:leader="none"/>
          <w:tab w:val="left" w:pos="993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Style w:val="896"/>
        <w:tblW w:w="4888" w:type="pct"/>
        <w:tblInd w:w="108" w:type="dxa"/>
        <w:shd w:val="clear" w:color="auto" w:fill="ffffff"/>
        <w:tblLook w:val="04A0" w:firstRow="1" w:lastRow="0" w:firstColumn="1" w:lastColumn="0" w:noHBand="0" w:noVBand="1"/>
      </w:tblPr>
      <w:tblGrid>
        <w:gridCol w:w="590"/>
        <w:gridCol w:w="4169"/>
        <w:gridCol w:w="104"/>
        <w:gridCol w:w="4272"/>
      </w:tblGrid>
      <w:tr>
        <w:tblPrEx/>
        <w:trPr>
          <w:trHeight w:val="666"/>
        </w:trPr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gridSpan w:val="3"/>
            <w:shd w:val="clear" w:color="auto" w:fill="ffffff"/>
            <w:tcW w:w="46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Информация о проведении предварительного отбора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1214"/>
        </w:trPr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/>
            <w:tcW w:w="2339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 предварительного отбора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2338" w:type="pct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услуг и (или) выполнение работ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замене, модернизации лифтов, ремонту лифтовых шахт, машинных и блочных помещений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521"/>
        </w:trPr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ffffff"/>
            <w:tcW w:w="2339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предварительного отбора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ffffff"/>
            <w:tcW w:w="2338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4-ПО(2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).ЛО.20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26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528"/>
        </w:trPr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gridSpan w:val="3"/>
            <w:shd w:val="clear" w:color="auto" w:fill="ffffff"/>
            <w:tcW w:w="4677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Сведения об уполномоченном органе на ведение РКПО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920"/>
        </w:trPr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2282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Полное наименование 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2395" w:type="pct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Министерство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жилищно-коммунального хозяйства, энергетики, цифровизации и связи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Забайкальского края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538"/>
        </w:trPr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2282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2395" w:type="pct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7536176880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572"/>
        </w:trPr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jc w:val="center"/>
              <w:spacing w:before="24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3.3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2282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Место нахождения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2395" w:type="pct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г. Чита, ул. Чкалова, д. 136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jc w:val="center"/>
              <w:spacing w:before="24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3.4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2282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2395" w:type="pct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672002, г. Чита, ул. Чкалова, д. 136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jc w:val="center"/>
              <w:spacing w:before="24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3.5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2282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электронной почты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2395" w:type="pct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/>
            <w:hyperlink r:id="rId11" w:tooltip="mailto:pochta@minenergo.e-zab.ru" w:history="1">
              <w:r>
                <w:rPr>
                  <w:rStyle w:val="899"/>
                  <w:rFonts w:ascii="Times New Roman" w:hAnsi="Times New Roman" w:eastAsia="Calibri" w:cs="Times New Roman"/>
                  <w:sz w:val="24"/>
                  <w:szCs w:val="24"/>
                  <w:lang w:val="en-US"/>
                </w:rPr>
                <w:t xml:space="preserve">pochta</w:t>
              </w:r>
              <w:r>
                <w:rPr>
                  <w:rStyle w:val="899"/>
                  <w:rFonts w:ascii="Times New Roman" w:hAnsi="Times New Roman" w:eastAsia="Calibri" w:cs="Times New Roman"/>
                  <w:sz w:val="24"/>
                  <w:szCs w:val="24"/>
                </w:rPr>
                <w:t xml:space="preserve">@</w:t>
              </w:r>
              <w:r>
                <w:rPr>
                  <w:rStyle w:val="899"/>
                  <w:rFonts w:ascii="Times New Roman" w:hAnsi="Times New Roman" w:eastAsia="Calibri" w:cs="Times New Roman"/>
                  <w:sz w:val="24"/>
                  <w:szCs w:val="24"/>
                  <w:lang w:val="en-US"/>
                </w:rPr>
                <w:t xml:space="preserve">minenergo</w:t>
              </w:r>
              <w:r>
                <w:rPr>
                  <w:rStyle w:val="899"/>
                  <w:rFonts w:ascii="Times New Roman" w:hAnsi="Times New Roman" w:eastAsia="Calibri" w:cs="Times New Roman"/>
                  <w:sz w:val="24"/>
                  <w:szCs w:val="24"/>
                </w:rPr>
                <w:t xml:space="preserve">.</w:t>
              </w:r>
              <w:r>
                <w:rPr>
                  <w:rStyle w:val="899"/>
                  <w:rFonts w:ascii="Times New Roman" w:hAnsi="Times New Roman" w:eastAsia="Calibri" w:cs="Times New Roman"/>
                  <w:sz w:val="24"/>
                  <w:szCs w:val="24"/>
                  <w:lang w:val="en-US"/>
                </w:rPr>
                <w:t xml:space="preserve">e</w:t>
              </w:r>
              <w:r>
                <w:rPr>
                  <w:rStyle w:val="899"/>
                  <w:rFonts w:ascii="Times New Roman" w:hAnsi="Times New Roman" w:eastAsia="Calibri" w:cs="Times New Roman"/>
                  <w:sz w:val="24"/>
                  <w:szCs w:val="24"/>
                </w:rPr>
                <w:t xml:space="preserve">-</w:t>
              </w:r>
              <w:r>
                <w:rPr>
                  <w:rStyle w:val="899"/>
                  <w:rFonts w:ascii="Times New Roman" w:hAnsi="Times New Roman" w:eastAsia="Calibri" w:cs="Times New Roman"/>
                  <w:sz w:val="24"/>
                  <w:szCs w:val="24"/>
                  <w:lang w:val="en-US"/>
                </w:rPr>
                <w:t xml:space="preserve">zab</w:t>
              </w:r>
              <w:r>
                <w:rPr>
                  <w:rStyle w:val="899"/>
                  <w:rFonts w:ascii="Times New Roman" w:hAnsi="Times New Roman" w:eastAsia="Calibri" w:cs="Times New Roman"/>
                  <w:sz w:val="24"/>
                  <w:szCs w:val="24"/>
                </w:rPr>
                <w:t xml:space="preserve">.</w:t>
              </w:r>
              <w:r>
                <w:rPr>
                  <w:rStyle w:val="899"/>
                  <w:rFonts w:ascii="Times New Roman" w:hAnsi="Times New Roman" w:eastAsia="Calibri" w:cs="Times New Roman"/>
                  <w:sz w:val="24"/>
                  <w:szCs w:val="24"/>
                  <w:lang w:val="en-US"/>
                </w:rPr>
                <w:t xml:space="preserve">ru</w:t>
              </w:r>
            </w:hyperlink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jc w:val="center"/>
              <w:spacing w:before="24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3.6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2282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телефона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2395" w:type="pct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(3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02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21-30-48, доб.5591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ffffff"/>
            <w:tcW w:w="323" w:type="pct"/>
            <w:vAlign w:val="center"/>
            <w:textDirection w:val="lrTb"/>
            <w:noWrap w:val="false"/>
          </w:tcPr>
          <w:p>
            <w:pPr>
              <w:jc w:val="center"/>
              <w:spacing w:before="24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3.7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ffffff"/>
            <w:tcW w:w="2282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Ф.И.О. контактного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2395" w:type="pct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Ружникова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Елена Александровна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994"/>
        </w:trPr>
        <w:tc>
          <w:tcPr>
            <w:tcW w:w="323" w:type="pct"/>
            <w:vAlign w:val="center"/>
            <w:textDirection w:val="lrTb"/>
            <w:noWrap w:val="false"/>
          </w:tcPr>
          <w:p>
            <w:pPr>
              <w:jc w:val="center"/>
              <w:spacing w:before="24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4.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82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Официальный сайт, на котором размещена документация о проведении предварительного отбора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2395" w:type="pct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http://zakupki.gov.ru/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697"/>
        </w:trPr>
        <w:tc>
          <w:tcPr>
            <w:tcW w:w="32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5.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82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сайта оператора электронной площадки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2395" w:type="pct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http://www.rts-tender.ru/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06"/>
        </w:trPr>
        <w:tc>
          <w:tcPr>
            <w:tcW w:w="32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6.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82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Период действия результатов предварительного отбора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ffffff" w:themeFill="background1"/>
            <w:tcW w:w="2395" w:type="pct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3 года с даты внесения записи об участнике предварительного отбора в РКПО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826"/>
        </w:trPr>
        <w:tc>
          <w:tcPr>
            <w:tcW w:w="323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7.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82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Дата и время начала срока подачи заявок на участие в предварительном отборе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395" w:type="pct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 мая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00 часов 00 минут (время местное)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53"/>
        </w:trPr>
        <w:tc>
          <w:tcPr>
            <w:tcW w:w="323" w:type="pct"/>
            <w:vAlign w:val="center"/>
            <w:textDirection w:val="lrTb"/>
            <w:noWrap w:val="false"/>
          </w:tcPr>
          <w:p>
            <w:pPr>
              <w:jc w:val="center"/>
              <w:spacing w:before="24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8.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82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Дата и время окончания срока подачи заявок на участие в предварительном отборе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395" w:type="pct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26 мая 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часов 00 минут (время местное)</w:t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ff0000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703"/>
        </w:trPr>
        <w:tc>
          <w:tcPr>
            <w:tcW w:w="323" w:type="pct"/>
            <w:vAlign w:val="center"/>
            <w:textDirection w:val="lrTb"/>
            <w:noWrap w:val="false"/>
          </w:tcPr>
          <w:p>
            <w:pPr>
              <w:jc w:val="center"/>
              <w:spacing w:before="24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9.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2282" w:type="pct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Дата окончания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срока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рассмотрения заявок на участие в предварительном отборе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gridSpan w:val="2"/>
            <w:shd w:val="clear" w:color="auto" w:fill="auto"/>
            <w:tcW w:w="2395" w:type="pct"/>
            <w:textDirection w:val="lrTb"/>
            <w:noWrap w:val="false"/>
          </w:tcPr>
          <w:p>
            <w:pPr>
              <w:jc w:val="both"/>
              <w:spacing w:before="120" w:after="12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9 июня 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года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numPr>
          <w:ilvl w:val="0"/>
          <w:numId w:val="6"/>
        </w:numPr>
        <w:ind w:left="0" w:firstLine="0"/>
        <w:jc w:val="center"/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Требования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к оказанию услуг и (или) выполнению работ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ремонту или замене лифтового оборудования, признанного непригодным для эксплуатации, ремонт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лифтовых шахт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(их техническим, функциональным, качественным и иным характеристикам)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  <w:outlineLvl w:val="1"/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W w:w="488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63"/>
        <w:gridCol w:w="2892"/>
        <w:gridCol w:w="5680"/>
      </w:tblGrid>
      <w:tr>
        <w:tblPrEx/>
        <w:trPr>
          <w:trHeight w:val="458"/>
          <w:tblHeader/>
        </w:trPr>
        <w:tc>
          <w:tcPr>
            <w:shd w:val="clear" w:color="auto" w:fill="auto"/>
            <w:tcW w:w="308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83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Требования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109" w:type="pct"/>
            <w:vAlign w:val="center"/>
            <w:vMerge w:val="restart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 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auto"/>
            <w:tcW w:w="30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8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10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355"/>
        </w:trPr>
        <w:tc>
          <w:tcPr>
            <w:shd w:val="clear" w:color="auto" w:fill="auto"/>
            <w:tcW w:w="30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8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Требования 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оказанию услуг и (или)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выполнению работ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109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shd w:val="clear" w:color="auto" w:fill="ffff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слуг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и (или) работ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ы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ремонту или замене лифтового оборудования, признанного непригодным для эксплуатации, ремонту лифтовых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шахт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должны удовлетворять требованиям строительных, экологических, санитарно-гигиенических, противопожарных и других норм, действую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щих на территории Российской Федерации.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Оказание услуг и (или) выполнение работ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замене, модернизации лифтов, ремонту лифтовых шахт, машинных и блочных помещений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(далее – оказание услуг и (или) выполнение работ)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должн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осуществляться в соответствии с действующими на территории Российской Федерации нормативными документами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21"/>
              </w:numPr>
              <w:ind w:left="0" w:firstLine="0"/>
              <w:jc w:val="both"/>
              <w:spacing w:after="0" w:line="240" w:lineRule="auto"/>
              <w:shd w:val="clear" w:color="auto" w:fill="ffffff"/>
              <w:tabs>
                <w:tab w:val="left" w:pos="235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Градостроительный кодекс Российской Федерации;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1"/>
              </w:numPr>
              <w:ind w:left="0" w:firstLine="0"/>
              <w:jc w:val="both"/>
              <w:spacing w:after="0" w:line="240" w:lineRule="auto"/>
              <w:shd w:val="clear" w:color="auto" w:fill="ffffff"/>
              <w:tabs>
                <w:tab w:val="left" w:pos="235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Жилищный кодекс Российской Федерации;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1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Земельный кодекс Российской Федерации;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1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Федеральный закон от 30.12.2009 г. № 384-Ф3 «Технический регламент о безопасности зданий и сооружений»;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1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Федеральный закон РФ от 22.07.2008 г. № 123-ФЗ «Технический регламент о требованиях пожарной безопасности»;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1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54.13330.2011 «Здания жилые многоквартирные. Актуализированная редакция СНиП 31-01-2003»;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1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15.13330.2012 «Каменные и армокаменные конструкции. Актуализированная редакция СНиП II-22-81*»;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1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63.13330.2012 «Бетонные и железобетонные конструкции. Основные положения.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Актуализированная редакция СНиП 52-01-2003 (с Изменениями № 1, 2»;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1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64.13330.2011 «Деревянные конструкции. Актуализированная редакция СНиП II-25-80»;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1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70.13330.2012 «Несущие и ограждающие конструкции. Актуализированная редакция СНиП 3.03.01-87»;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1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16.13330.2011 «Стальные конструкции. Актуализированная редакция СНиП II-23-81* (с Изменением № 1)»;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1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17.13330.2011 «Кровли. Актуализированная редакция СНиП II-26-76»;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1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20.13330.2011 «Нагрузки и воздействия. Актуализированная редакция СНиП 2.01.07-85*»;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1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22.13330.2011 «Основания зданий и сооружений. Актуализированная редакция СНиП 2.02.01-83*»;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1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24.13330.2011 «Свайные фундаменты. Актуализированная редакция СНиП 2.02.03-85»;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1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28.13330.2012 «Защита строительных конструкций от коррозии. Актуализированная редакция СНиП 2.03.11-85 (с Изменением № 1)»;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1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30.13330.2012 «Внутренний водопровод и канализация зданий. Актуализированная редакция СНиП 2.04.01-85*»;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1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50.13330.2012 «Тепловая защита зданий. Актуализированная редакция СНиП 23-02-2003»;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1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60.13330.2012 «Отопление, вентиляция и кондиционирование воздуха. Актуализированная редакция СНиП 41-01-2003»;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1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62.13330.2011* «Газораспределительные системы. Актуализированная редакция СНиП 42-01-2002 (с Изменением № 1)»;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1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131.13330.2012 «Строительная климатология. Актуализированная редакция СНиП 23-01-99* (с Изменением № 2»;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numPr>
                <w:ilvl w:val="0"/>
                <w:numId w:val="21"/>
              </w:numPr>
              <w:ind w:left="0" w:firstLine="0"/>
              <w:jc w:val="both"/>
              <w:spacing w:after="0" w:line="240" w:lineRule="auto"/>
              <w:tabs>
                <w:tab w:val="left" w:pos="235" w:leader="none"/>
                <w:tab w:val="left" w:pos="709" w:leader="none"/>
              </w:tabs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 31-110-2003 «Проектирование и монтаж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электроустановок жилых и общественных зданий»;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pStyle w:val="901"/>
              <w:numPr>
                <w:ilvl w:val="0"/>
                <w:numId w:val="18"/>
              </w:numPr>
              <w:ind w:left="40" w:firstLine="0"/>
              <w:jc w:val="both"/>
              <w:spacing w:after="0" w:line="240" w:lineRule="auto"/>
              <w:tabs>
                <w:tab w:val="left" w:pos="29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ГОСТ 31565-2012 «Кабельные изделия. Требования пожарной безопасности»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1"/>
              <w:numPr>
                <w:ilvl w:val="0"/>
                <w:numId w:val="18"/>
              </w:numPr>
              <w:ind w:left="40" w:firstLine="0"/>
              <w:jc w:val="both"/>
              <w:spacing w:after="0" w:line="240" w:lineRule="auto"/>
              <w:tabs>
                <w:tab w:val="left" w:pos="29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 Р 53780-2010 «Лифты. Общие требования безопасности к устройству и установки»;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1"/>
              <w:numPr>
                <w:ilvl w:val="0"/>
                <w:numId w:val="18"/>
              </w:numPr>
              <w:ind w:left="40" w:firstLine="0"/>
              <w:jc w:val="both"/>
              <w:spacing w:after="0" w:line="240" w:lineRule="auto"/>
              <w:tabs>
                <w:tab w:val="left" w:pos="29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 Р 55967-2014 «Лифты. Специальные требования безопасности при установке новых лифтов в существующие здания»;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1"/>
              <w:numPr>
                <w:ilvl w:val="0"/>
                <w:numId w:val="18"/>
              </w:numPr>
              <w:ind w:left="40" w:firstLine="0"/>
              <w:jc w:val="both"/>
              <w:spacing w:after="0" w:line="240" w:lineRule="auto"/>
              <w:tabs>
                <w:tab w:val="left" w:pos="29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 Р 55965-2014 «Лифты. Общие требования к модернизации находящихся в эксплуатации лифтов»;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1"/>
              <w:numPr>
                <w:ilvl w:val="0"/>
                <w:numId w:val="18"/>
              </w:numPr>
              <w:ind w:left="40" w:firstLine="0"/>
              <w:jc w:val="both"/>
              <w:spacing w:after="0" w:line="240" w:lineRule="auto"/>
              <w:tabs>
                <w:tab w:val="left" w:pos="29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ГОСТ Р 55963-2014 «Лифты. Диспетчерский контроль. Общие технические требования»;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lightGray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Данный перечень нормативных правовых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актов уточняется в документации об электронном аукционе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lightGray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lightGray"/>
                <w:lang w:eastAsia="ru-RU"/>
              </w:rPr>
            </w:r>
          </w:p>
        </w:tc>
      </w:tr>
      <w:tr>
        <w:tblPrEx/>
        <w:trPr>
          <w:trHeight w:val="447"/>
        </w:trPr>
        <w:tc>
          <w:tcPr>
            <w:shd w:val="clear" w:color="auto" w:fill="auto"/>
            <w:tcW w:w="30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8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Требования к качеству оказываемых услуг и (или) выполняемых работ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109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Оказание услуг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 и (или)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выполнение работ должно осуществляться в полном объеме, качественно и в строгом соответствии с нормами и требованиями ГОСТ, СП, СНиП,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СанПин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, ПУЭ, НПБ, нормативных документов в области охраны и безопасности производства работ,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энерго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- и ресурсосбережения, а также требованиями соответствующих государственных надзорных и инспектирующих органов.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1) установка информационных щитов с указанием наименования объекта, наименования заказчика, исполнителя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услуг и (или)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работ (подрядной организации, генерального подрядч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ика), фамилии, должности и номеров телефонов ответственного производителя работ по объекту и представителя органа местного самоуправления, курирующего строительство, сроков начала и окончания работ, схемы объекта производится за счет подрядной организации;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2) ремонтные 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боты должны производиться в будние дни в период с 8.00 часов до 21.00 часа (по письменному согласованию с заказчиком ремонтные работы могут проводиться в выходные и праздничные дни с учетом соответствующих требований законодательства Российской Федерации);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3) своевременное, но не реже одно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го раза в неделю, обеспечение погрузки, транспортировки и утилизации (передачи на полигон) строительного мусора за счет подрядной организации (место утилизации строительного мусора согласовывается подрядной организацией с органами местного самоуправления);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4) еженедельное (каж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дый четверг) предоставление заказчику в электронном виде на электронную почту фотоотчета с письменными пояснениями о ходе выполнения работ, а также обеспечение возможности круглосуточной связи представителя заказчика с представителем подрядной организации;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5) обеспечение за счет подрядной организации сохранности материалов, оборудования, стоянки строительной техники и другого имущества, необходимого для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оказания услуг и (или) выполнения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 работ, ограждение рабочей площадки с момента начала работ до сдачи объекта в эксплуатацию.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24"/>
        </w:trPr>
        <w:tc>
          <w:tcPr>
            <w:shd w:val="clear" w:color="auto" w:fill="auto"/>
            <w:tcW w:w="30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8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Требования к качеству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используемых в ходе оказания услуг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 и (или)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выполнения работ материалов и оборудования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109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При оказании услуг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и (или)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выполнении работ должны использоваться материалы, имеющие сертификаты (сертификат соответствия, серти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фикат пожарной безопасности, санитарно-эпидемиологическое заключение), технические паспорта или другие документы, удостоверяющие качество используемых при ремонтных и монтажных работах материалов и оборудования, которые предоставляются Заказчику при сдаче.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Качество используемых материалов должно соответствовать действующим ГОСТ, ТУ.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Сроки эксплуатации оборудования – не менее указанных в паспорте завода-изготовителя.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24"/>
        </w:trPr>
        <w:tc>
          <w:tcPr>
            <w:shd w:val="clear" w:color="auto" w:fill="auto"/>
            <w:tcW w:w="30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8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Требования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к техническим характеристикам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используемых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 в ходе оказания услуг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и (или)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выполнения работ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  <w:t xml:space="preserve">материалов и оборудования</w:t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109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Количественные и технические характеристики используемых материалов и оборудования определяются в соответствии с 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  <w:lang w:eastAsia="ru-RU"/>
              </w:rPr>
              <w:t xml:space="preserve">документацией об электронном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аукционе и договором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 проведении капитального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В случае указания на товарные знаки применяемых материалов следует читать «или эквивалент».</w:t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r>
          </w:p>
        </w:tc>
      </w:tr>
      <w:tr>
        <w:tblPrEx/>
        <w:trPr>
          <w:trHeight w:val="424"/>
        </w:trPr>
        <w:tc>
          <w:tcPr>
            <w:shd w:val="clear" w:color="auto" w:fill="auto"/>
            <w:tcW w:w="308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83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Требование к календарному плану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оказания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услуг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 и (или) выполнения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  <w:t xml:space="preserve">работ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109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Оказание у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слуг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и (или) выполнение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работ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должно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осуществляться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в соответствии с прилагаемым к договору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 проведении капитального ремонта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графиком оказания услуг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и (или) выполнения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работ.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</w:tbl>
    <w:p>
      <w:pPr>
        <w:spacing w:after="0"/>
        <w:rPr>
          <w:rFonts w:ascii="Times New Roman" w:hAnsi="Times New Roman" w:eastAsia="Calibri" w:cs="Times New Roman"/>
          <w:bCs/>
          <w:sz w:val="24"/>
          <w:szCs w:val="24"/>
        </w:rPr>
      </w:pPr>
      <w:r>
        <w:rPr>
          <w:rFonts w:ascii="Times New Roman" w:hAnsi="Times New Roman" w:eastAsia="Calibri" w:cs="Times New Roman"/>
          <w:bCs/>
          <w:sz w:val="24"/>
          <w:szCs w:val="24"/>
        </w:rPr>
      </w:r>
      <w:r>
        <w:rPr>
          <w:rFonts w:ascii="Times New Roman" w:hAnsi="Times New Roman" w:eastAsia="Calibri" w:cs="Times New Roman"/>
          <w:bCs/>
          <w:sz w:val="24"/>
          <w:szCs w:val="24"/>
        </w:rPr>
      </w:r>
      <w:r>
        <w:rPr>
          <w:rFonts w:ascii="Times New Roman" w:hAnsi="Times New Roman" w:eastAsia="Calibri" w:cs="Times New Roman"/>
          <w:bCs/>
          <w:sz w:val="24"/>
          <w:szCs w:val="24"/>
        </w:rPr>
      </w:r>
    </w:p>
    <w:p>
      <w:pPr>
        <w:numPr>
          <w:ilvl w:val="0"/>
          <w:numId w:val="6"/>
        </w:numPr>
        <w:ind w:left="0" w:firstLine="0"/>
        <w:jc w:val="center"/>
        <w:spacing w:after="0" w:line="240" w:lineRule="auto"/>
        <w:tabs>
          <w:tab w:val="left" w:pos="426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Сведения о существенных условиях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договора о проведении капитального ремонта, которые будут в дальнейшем установлены в документации об электронном аукционе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Style w:val="897"/>
        <w:tblW w:w="4889" w:type="pct"/>
        <w:tblInd w:w="108" w:type="dxa"/>
        <w:tblLook w:val="04A0" w:firstRow="1" w:lastRow="0" w:firstColumn="1" w:lastColumn="0" w:noHBand="0" w:noVBand="1"/>
      </w:tblPr>
      <w:tblGrid>
        <w:gridCol w:w="560"/>
        <w:gridCol w:w="2099"/>
        <w:gridCol w:w="6478"/>
      </w:tblGrid>
      <w:tr>
        <w:tblPrEx/>
        <w:trPr>
          <w:tblHeader/>
        </w:trPr>
        <w:tc>
          <w:tcPr>
            <w:shd w:val="clear" w:color="auto" w:fill="auto"/>
            <w:tcW w:w="24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118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Условие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W w:w="35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  <w:t xml:space="preserve">Описание условия</w:t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r>
          </w:p>
        </w:tc>
      </w:tr>
      <w:tr>
        <w:tblPrEx/>
        <w:trPr>
          <w:tblHeader/>
        </w:trPr>
        <w:tc>
          <w:tcPr>
            <w:shd w:val="clear" w:color="auto" w:fill="auto"/>
            <w:tcW w:w="24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118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357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4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8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Заказчик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Забайкальский фонд капитального ремонта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многоквартирных домов, органы местного самоуправления и (или) государственные, муниципальные бюджетные, казенные учреждения в случаях, предусмотренных частью 4 статьи 182 Жилищного кодекса Российской Федерации, осуществляющие функции технического заказчика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4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8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Проект договора о проведении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капитального ремонта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Проект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будет размещен в составе документации об электронном аукционе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 оказание услуг и (или) выполнение работ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замене, модернизации лифтов, ремонту лифтовых шахт, машинных и блочных помещений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4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8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Предмет договора о проведении капитального ремонта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Предметом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является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оказание услуг и (или)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выполнение работ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замене, модернизации лифтов, ремонту лифтовых шахт, машинных и блочных помещений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многоквартирных домов, расположенных на территории Забайкальского края.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Оказание услуг и (или) выполнение р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абот буд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осуществл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яться в отношении объектов, указанных в ориентировочном адресном перечне, содержащемся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br/>
              <w:t xml:space="preserve">в разделе IV Документации о проведении предварительного отбора и размещенном на официальном сайте Министерства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жилищно-коммунального хозяйства, энергетики, цифровизации и связи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Забайкальского края в информационно-телекоммуникационной сети «Интернет» http://мин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энерго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.забайкальскийкрай.рф/.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4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8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Цена договора о проведении капитального ремонта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7" w:type="pct"/>
            <w:textDirection w:val="lrTb"/>
            <w:noWrap w:val="false"/>
          </w:tcPr>
          <w:p>
            <w:pPr>
              <w:numPr>
                <w:ilvl w:val="0"/>
                <w:numId w:val="7"/>
              </w:numPr>
              <w:contextualSpacing/>
              <w:ind w:left="0" w:hanging="5"/>
              <w:jc w:val="both"/>
              <w:tabs>
                <w:tab w:val="left" w:pos="450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Цена договора о проведении капитального ремонта может быть увеличена по соглашению сторон в ходе его исполнения, но не более чем на 15 процентов в связи с пропорциональным увеличением объема оказания услуг и (или) выполнения работ.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7"/>
              </w:numPr>
              <w:contextualSpacing/>
              <w:ind w:left="0" w:hanging="5"/>
              <w:jc w:val="both"/>
              <w:tabs>
                <w:tab w:val="left" w:pos="450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может быть снижена по соглашению сторон при уменьшении предусмотренных договором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объемов услуг и (или) работ.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7"/>
              </w:numPr>
              <w:contextualSpacing/>
              <w:ind w:left="0" w:hanging="5"/>
              <w:jc w:val="both"/>
              <w:tabs>
                <w:tab w:val="left" w:pos="450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стоимости и объемов услуг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  производится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соблюдении заказчиком положений, установленных частью 5 статьи 189 Жилищного кодекса Российской Федерации. Иные положения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изменению не подлежат.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4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8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Порядок и сроки оплаты услуг и (или) работ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/>
            <w:bookmarkStart w:id="0" w:name="Par0"/>
            <w:r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Устанавливаются Заказчиком в документации об электронном аукционе.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4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8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Порядок и сроки оказания услуг и (или) выполнения работ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Устанавливаются Заказчиком в документации об электронном аукционе.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4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8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Порядок и сроки приемки оказанных услуг и (или) выполненных работ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7" w:type="pct"/>
            <w:textDirection w:val="lrTb"/>
            <w:noWrap w:val="false"/>
          </w:tcPr>
          <w:p>
            <w:pPr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Приемка результатов услуг и (или) работ по договору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осуществляется после оказания и (или) выполнения в полном объеме услуг и (или) работ согласно графику оказания услуг и (или) выполнения работ.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Порядок и сроки приемки оказанных услуг и (или) выполненных работ устанавливаются Заказчиком в документации об электронном аукционе.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проверки соответствия качества объемов оказанных услуг и (или) выполненных работ, установленных договором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Заказчик вправе привлекать независимых экспертов.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 приемки оказанных услуг и (или) выполненных работ должен быть согласован с органом местного самоуправления, а также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лицом, которое уполномочено действовать от имени собственников помещений в многоквартирном доме (в случае, если капитальный ремонт общего имущества в многоквартирном доме проводится на основании решения собственников помещений в этом многоквартирном доме).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right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окончании услуг и (или) работ необходимо предоставить Заказчику комплект исполнительной документации на оказанные услуги и (или) выполненные работы в соответствии с Требованиями к соста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 и порядку ведения исполнительной документации при строительстве, реконструкции, капитальном ремонте объектов капитального строительства и требованиям, предъявляемым к актам освидетельствования услуг и (или) работ, конструкций, участков сетей инженерно-т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ехнического обеспечения (РД-11-02-2006), утвержденными приказом Федеральной службы по экологическому, технологическому и атомному надзору от 26 декабря 2006 года № 1128, а также другими нормативными документами в сфере строительства и капитального ремонта.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4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8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Место оказания услуг и (или) выполнения работ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7" w:type="pct"/>
            <w:vAlign w:val="center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Устанавливается Заказчиком в документации об электронном аукционе в пределах территории Забайкальского края.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4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8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Обеспечение исполнения договора о проведении капитального ремонта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7" w:type="pct"/>
            <w:textDirection w:val="lrTb"/>
            <w:noWrap w:val="false"/>
          </w:tcPr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 Исполнение обязательств по договору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обеспечивается: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 банковс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кой гарантией, выданной банком, включенным в перечень банков, отвечающих установленным требованиям для принятия банковских гарантий в целях налогообложения, предусмотренный статьей 74.1 Налогового кодекса Российской Федерации (далее - банковская гарантия);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 обеспечительным платежом.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 Способ обеспечения исполнения обязательств по договору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определяетс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я участником электронного аукциона, с которым заключается такой договор, самостоятельно из способов, предусмотренных пунктом 206 Положения о привлечении специализированной некоммерческой организацией, осуществляющей деятельность, направленную на обеспечени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 проведения капитального ремонта общего имущества в многоквартирных домах, подрядных организаций для оказания услуг и (или) выполнения работ по капитальному ремонту общего имуществ в многоквартирном доме, утвержденном постановлением Правительства Российск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ой Федерации от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br/>
              <w:t xml:space="preserve">1 июля 2016 года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№ 615 (далее – Положение).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обеспечения исполнения обязательств по договору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определяется заказчиком в извещении о проведении электронного аукциона.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Размер обеспечения исполнения обязательств по договору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может превышать тридцать процентов начальной (максимальной) цены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указанной в извещении о проведении электронного аукциона.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24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8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Гарантийный срок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7" w:type="pct"/>
            <w:textDirection w:val="lrTb"/>
            <w:noWrap w:val="false"/>
          </w:tcPr>
          <w:p>
            <w:pPr>
              <w:pStyle w:val="900"/>
              <w:jc w:val="both"/>
              <w:tabs>
                <w:tab w:val="left" w:pos="608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Условия о гарантийном сроке определяются Заказчиком в документации об электронном аукционе.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Срок предоставления гарантий на оказанные услуги и (или) выполненные работы не может быть менее 5 лет со дня подписания соответствующего акта о приемке оказанных услуг и (или) выполненных работ.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1137"/>
        </w:trPr>
        <w:tc>
          <w:tcPr>
            <w:tcW w:w="24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11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8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Ответственность Заказчика и Исполнителя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Условия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предусматривающие ответственность сторон договора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 неисполнение или ненадлежащее исполнение обязательств по такому договору, определяются в документации об электронном аукционе.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4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8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Порядок заключения договора о проведении капитального ремонта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7" w:type="pct"/>
            <w:textDirection w:val="lrTb"/>
            <w:noWrap w:val="false"/>
          </w:tcPr>
          <w:p>
            <w:pPr>
              <w:jc w:val="both"/>
              <w:widowControl w:val="off"/>
              <w:tabs>
                <w:tab w:val="left" w:pos="60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заключается Заказчиком в соответствии с Гражданским кодексом Российской Федерации и Положением.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600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Порядок заключения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определяется Заказчиком в документации об электронном аукционе.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24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18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Другие существенные условия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357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1. Предмет договора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 проведении капитального ремонта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место оказания услуг и (или) проведения работ, виды услуг и (или) работ не могут изменяться в ходе его исполнения,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исключением случаев, предусмотренных Положением. Сроки оказания услуг и (или) выполнения работ по договору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соглашению сторон могут быть продлены на период действия одного из следующих обстоятельств при наличии документов, подтверждающих такие обстоятельства: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изменение объема оказываемых услуг и (или) выполняемых работ по договору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соглаше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нию сторон при согласовании таких изменений собственниками помещений в многоквартирном доме, уполномоченным представителем собственников таких помещений или органами местного самоуправления в случаях, предусмотренных законодательством Российской Федерации;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недопуск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собственникам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помещений в многоквартирном доме подрядной организации к оказанию услуг и (или) выполнению работ по капитальному ремонту по причинам, не связанным с неисполнением или ненадлежащим исполнением такой организацией договора о проведении капитального ремонта;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приостановка оказания услуг и (или) выполнения работ по капитальному ремонту в связи с наступлением отопительного сезона и (или) неблагоприятных погодных условий.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  <w:tab w:val="left" w:pos="57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2. При исполнении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не допускается перемена подрядчика, за исключением случаев, если новый подрядчик является правопреемником подрядчика по договору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вследствие реорганизации юридического лица в порядке, предусмотренном законодательством Российской Федерации.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  <w:tab w:val="left" w:pos="57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3. Расторжение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допускается: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 по соглашению сторон;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б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 по инициативе Заказчика, в том числе в виде одностороннего расторжения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или подрядной организации (основания такого расторжения устанавливаются в договоре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 проведении капитального ремонта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);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) по решению суда по основаниям, предусмотренным законодательством Российской Федерации.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4. Заказчик вправе расторгнуть договор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одностороннем порядке с взысканием причиненных убытков в следующих случаях: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pStyle w:val="900"/>
              <w:ind w:firstLine="14"/>
              <w:jc w:val="both"/>
              <w:tabs>
                <w:tab w:val="left" w:pos="298" w:leader="none"/>
                <w:tab w:val="left" w:pos="60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систематическое (2 раза и более) нарушение подрядной организацией сроков оказания услуг и (или) выполнения работ;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0"/>
              <w:ind w:firstLine="14"/>
              <w:jc w:val="both"/>
              <w:tabs>
                <w:tab w:val="left" w:pos="298" w:leader="none"/>
                <w:tab w:val="left" w:pos="60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задержка подрядной организацией начала оказания услуг и (или) выполнения работ более чем на 5 календарных дней по причинам, не зависящим от Заказчика или собственников помещений в многоквартирном доме;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0"/>
              <w:ind w:firstLine="14"/>
              <w:jc w:val="both"/>
              <w:tabs>
                <w:tab w:val="left" w:pos="298" w:leader="none"/>
                <w:tab w:val="left" w:pos="60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неоднократное (2 раза и более в течение одного календарного месяца) несоблюдение (отступление от требований, предусмотренных договором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 проведении капитального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проектной документацией, стандартами, нормами и правилами, а также иными действующими нормативными правовыми актами) подрядной организацией требований к качеству услуг и (или) работ и (или) технологии проведения работ;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0"/>
              <w:ind w:firstLine="14"/>
              <w:jc w:val="both"/>
              <w:tabs>
                <w:tab w:val="left" w:pos="298" w:leader="none"/>
                <w:tab w:val="left" w:pos="60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неоднократное (2 раза и более в течение одного календарного месяца) использование некачественных материалов, изделий и конструкций, выявленных Заказчиком в соответствии с условиями договора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 проведении капитального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0"/>
              <w:ind w:firstLine="14"/>
              <w:jc w:val="both"/>
              <w:tabs>
                <w:tab w:val="left" w:pos="298" w:leader="none"/>
                <w:tab w:val="left" w:pos="60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прекращение членства подрядной организации в саморегулируемой организации, издание актов государственных органов в рамках законодательства Российской Федерации, лишающих права подрядной организации на производство работ;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0"/>
              <w:ind w:firstLine="14"/>
              <w:jc w:val="both"/>
              <w:tabs>
                <w:tab w:val="left" w:pos="298" w:leader="none"/>
                <w:tab w:val="left" w:pos="60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нарушение подрядной организацией сроков оказания услуг и (или) выполнения работ продолжительностью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15 календарных дней по любому из многоквартирных домов;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0"/>
              <w:ind w:firstLine="14"/>
              <w:jc w:val="both"/>
              <w:tabs>
                <w:tab w:val="left" w:pos="298" w:leader="none"/>
                <w:tab w:val="left" w:pos="60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нарушение срока замены банковской гарантии, установленного договором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 проведении капитального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при отзыве лицензии, банкротстве или ликвидации банка-гаранта более чем на 2 рабочих дня;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widowControl w:val="off"/>
              <w:tabs>
                <w:tab w:val="left" w:pos="491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выявление Заказчиком после заключения договора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факта недействительности представленной подрядной организацией банковской гарантии (представление поддельных документов, получение от банка-гаранта опровержения выдачи банковской гарантии подрядной организации в письменной форме);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неисполнение обязательства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продлении срока банковской гарантии при изменении сроков оказания услуг и (или) выполнения работ в связи с изменением по соглашению сторон сроков оказания услуг и (или) выполнения работ либо при нарушении подрядной организацией предусмотренных договором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 проведении капитального ремонта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сроков оказания услуг и (или) выполнения работ.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numPr>
          <w:ilvl w:val="0"/>
          <w:numId w:val="6"/>
        </w:numPr>
        <w:ind w:left="0" w:firstLine="0"/>
        <w:jc w:val="center"/>
        <w:spacing w:after="0" w:line="240" w:lineRule="auto"/>
        <w:tabs>
          <w:tab w:val="left" w:pos="426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Ориентировочные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адресные перечни многоквартирных домов, на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оказание услуги и (или)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выполнение работ по ремонту или замене лифтового оборудования, признанного непригодным для эксплуатации, ремонт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у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лифтовых шахт в которых в дальнейшем будет проводиться электронный аукцион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pStyle w:val="901"/>
        <w:ind w:left="1080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W w:w="488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2846"/>
        <w:gridCol w:w="5596"/>
      </w:tblGrid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Ориентировочные адресные перечни многоквартирных домов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pStyle w:val="900"/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Ориентировочный адресный перечень многоквартирных домов, 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оказание услуг и (или)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выполнение работ в которых в дальнейшем будет проводиться электронный аукцион, размещен на сайте органа по ведению РКПО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http://минэнерго.забайкальскийкрай.рф/) в разделе «Деятельность» / «Жилищно-коммунальное хозяйство» / «Капитальный ремонт многоквартирных домов» / «Предварительный отбор подрядных организаций»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</w:tr>
    </w:tbl>
    <w:p>
      <w:pPr>
        <w:pStyle w:val="901"/>
        <w:ind w:left="1080"/>
        <w:jc w:val="both"/>
        <w:spacing w:after="0" w:line="240" w:lineRule="auto"/>
        <w:tabs>
          <w:tab w:val="left" w:pos="993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numPr>
          <w:ilvl w:val="0"/>
          <w:numId w:val="6"/>
        </w:numPr>
        <w:ind w:left="0" w:firstLine="0"/>
        <w:jc w:val="center"/>
        <w:spacing w:after="0" w:line="240" w:lineRule="auto"/>
        <w:tabs>
          <w:tab w:val="left" w:pos="426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Требования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к участникам предварительного отбора, установленные пунктом 23 Положения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1572"/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W w:w="488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2846"/>
        <w:gridCol w:w="5596"/>
      </w:tblGrid>
      <w:tr>
        <w:tblPrEx/>
        <w:trPr>
          <w:trHeight w:val="164"/>
          <w:tblHeader/>
        </w:trPr>
        <w:tc>
          <w:tcPr>
            <w:shd w:val="clear" w:color="auto" w:fill="auto"/>
            <w:tcBorders>
              <w:bottom w:val="single" w:color="auto" w:sz="4" w:space="0"/>
            </w:tcBorders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</w:trPr>
        <w:tc>
          <w:tcPr>
            <w:shd w:val="clear" w:color="auto" w:fill="auto"/>
            <w:tcBorders>
              <w:top w:val="single" w:color="auto" w:sz="4" w:space="0"/>
            </w:tcBorders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Требования к участникам предварительного отбора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</w:tcBorders>
            <w:tcW w:w="3062" w:type="pct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Участником предварительного отбора может являться юридическое лицо независимо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организационно-правовой формы или индивидуальный предприниматель, претендующие на включение в РКПО (далее – Участник).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При проведении предварительного отбора к его Участнику устанавливаются следующие требования: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членство в саморегулируемой организации в области строительства,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реконструкции, капитального ремонта объектов капитального строительства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отсутствие у Участника задолженности по уплате налогов,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сборов и иных обязательных платежей в бюджеты бюджетной системы Российской Федерации за прошедший календарный год, за исключением случаев обжалования им задолженностей по обязательным платежам в бюджеты бюджетной системы Российской Федерации в соответствии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с законодательством Российской Федерации,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заявки не вступило в законную силу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отсутствие у Участника за 3 года, предшествующие дате окончания срока подачи заявок на участие в предварительном отборе, контракта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договора, в том числе заключенного в соответствии с Положением, по строительству, реконструкции и (или) капитальному ремонту объектов капитального строительства, относящихся к той 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группе услуг и (или) работ, что и предмет предварительного отбора, расторгнутого по решению суда или расторгнутого по требованию одной из сторон такого контракта или договора в случае существенных нарушений Участником условий такого контракта или договора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отсутствие процедуры проведения ликвидации в отношении Участника или отсутствие решения арбитражного суда о признании Участника банкротом и об открытии конкурсного производства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неприостановление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деятельности Участника в порядке, предусмотренном Кодексом Российской Федерации об административных правонарушениях, на дату проведения предварительного отбора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отсутствие конфликта интересов, то есть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случаев, при которых руководитель Заказчика, член комиссии по проведению предварительного отбора, комиссии по осуществлению закупок, должностное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лицо Заказчика, осуществляющее организационное сопровождение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привлечения подрядных организаций, состоят в браке с физическими лицами, являющимися выгодоприобретателями, единоличным исполнительным органом хозяйственного общества, членами коллегиального исполнительного органа хозяйственного общества, руководителем учр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еждения или унитарного предприятия либо иных органов управления юридического лица - Участника либо являются близкими родственниками (родственниками по прямой восходящей и нисходящей линии (родителями и детьми, дедушкой, бабушкой и внуками), полнородными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неполнородными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(имеющими общих отца или мать) братьями или сестрами), усыновителями указанных физических лиц или усыновленными ими. Под выгодоприобретателями понимаются физические лица,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ладеющие напрямую или косвенно (через юридическое лицо или через несколько юридических лиц) более чем 10 (десятью) процентами голосующих акций хозяйственного общества либо долей, превышающей 10 (десять) процентов в уставном капитале хозяйственного общества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ж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неприменение в отношении Участника – физического лица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либо руководителя, членов коллегиального исполнительного органа или главного бухгалтера Участника – 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наказания в виде дисквалификации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отсутствие сведений об Участнике в реестре недобросовестных поставщиков (подрядчиков, исполнителей), ведение которого осуществляется уполномоченным федеральным органом исполнительной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власти в соответствии с законодательством Российской Федерации о контрактной системе в сфере закупок товаров, работ, услуг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для обеспечения государственных и муниципальных нужд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отсутствие сведений об Участнике в реестре недобросовестных подрядных организаций, ведение которого осуществляется федеральным органом исполнительной власти в порядке, установленном разделом 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lang w:val="en-US"/>
              </w:rPr>
              <w:t xml:space="preserve">VII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Положения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невозможность для Участника являться юридическим лицом, местом регистрации которого является государство или территория, включе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нные в утверждаемый в соответствии с подпунктом 1 пункта 3 статьи 284 Налогового кодекса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информации при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проведении финансовых операций в отношении юридических лиц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наличие в штате у Участника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работников, соответствующих установленным пунктом 1 части 6 статьи 55.5 Градостроительного кодекса Российской Федерации квалификационным требованиям, в количестве, установленном в приложении № 2 «Требования к минимальному количеству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квалифицированного персонала, входящего в штат Участника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к Документации о проведении предварительного отбора, но не ниже количества, установленного пунктом 2 части 6 статьи 55.5 Градостроительного кодекса Российской Федерации;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наличие у Участника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3 года, предшествующие дате окончания срока подачи заявок на участие в предварительном отборе, опыта оказания услуг и (или) выполнения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работ, аналогичных предмету проводимого предварительного отбора, не менее чем по 3 исполненным контрактам и (или) договорам, предметом которых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являлись строительство, реконструкция, капитальный ремонт здани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й, являющихся объектами капитального строительства, ремонт (замена) лифтового оборудования, разработка проектной документации, в том числе по договорам, заключенным в соответствии с Положением. При этом минимальный размер стоимости оказанных услуг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выполненных работ по указанным исполненным контрактам и (или) договорам установлен в приложении № 3 «Минимальный размер стоимости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оказанных услуг 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выполненных работ» к Документации о проведении предварительного отбора в размере не более 10 процентов предель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ного размера обязательств по договорам строительного подряда, в соответствии с которым Участником как членом саморегулируемой организации, основанной на членстве лиц, осуществляющих строительство, внесен взнос в компенсационный фонд обеспечения договорных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обязательств, сформированный в соответствии с частью 2 статьи 55.16 Градостроительного кодекса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наличие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штате Участника предварительного отбора по месту основной работы не менее одного работника, ответственного 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производства работ по монтажу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пусконаладке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технических устройств (систем вертикального транспорта) – лифтов, платформ подъемных для инвалидов, эскалаторов, пассажирских конвей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ров, уровень квалификации которого соответствует уровню,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соответствующим профессиональным стандартом, утвержденным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случае проведения предварительного отбора на включение в реестр квалифицированных подрядных организаций по предмету электронного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аукциона, предусмотренному подпунктом «в» пункта 8 Положения.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в отношении Участника решения об исключ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ении подрядной организации из РКПО в случае установления одного из фактов, указанных в подпунктах «з» - «к» пункта 66 Положения, в течение года до даты рассмотрения заявок на участие в предварительном отборе комиссией по проведению предварительного отбора.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</w:tr>
    </w:tbl>
    <w:p>
      <w:pPr>
        <w:ind w:firstLine="360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360"/>
        <w:jc w:val="center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en-US"/>
        </w:rPr>
        <w:t xml:space="preserve">VI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.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Требования к содержанию, форме и составу заявки на участие в предварительном отборе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, предусмотренные пунктами 37 и 38 Положения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</w:p>
    <w:tbl>
      <w:tblPr>
        <w:tblW w:w="4889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2849"/>
        <w:gridCol w:w="5595"/>
      </w:tblGrid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9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9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9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Требования к содержанию, форме и составу заявки на участие в предварительном отборе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contextualSpacing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1. Заявку на участие в предварительном отборе (далее – Заявка) рекомендуется подготовить и представить по форме, установленной в приложении № 1 к Документации о проведении предварительного отбора.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Заявка, а также все сведения и документы, которые входят в ее состав в соответствии с Документацией о проведении предварительного отбора, подаются через оператора электронной площадки в виде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электронного документа.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Заявка должна быть подписана усиленной неквалифицированной электронной подписью.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Ключи усиленных неквалифицированных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электронных подписей должны быть созданы и выданы удостоверяющими центрами, получившими аккредитацию на соответствие требованиям Федерального закона от 06 апреля 2011 года № 63-ФЗ «Об электронной подписи».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contextualSpacing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4. Заявка должна содержать: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contextualSpacing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 следующие сведения и документы об Участнике,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подавшем Заявку: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  <w:p>
            <w:pPr>
              <w:numPr>
                <w:ilvl w:val="0"/>
                <w:numId w:val="16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полное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наименование, сведения об организационно-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правовой форме, о месте нахождения, об адресе юридического лица, идентификационный номер налогоплательщика (при наличии) учредителей, членов коллегиального исполнительного органа, лица, исполняющего функции единоличного исполнительного органа Участника, – 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u w:val="single"/>
              </w:rPr>
              <w:t xml:space="preserve">для юридического лица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16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фамилию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имя, отчество, паспортные данные, сведения о месте жительства, номер контактного телефона – 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u w:val="single"/>
              </w:rPr>
              <w:t xml:space="preserve">для физического лица, зарегистрированного в качестве индивидуального предпринимателя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16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Единого государственного реестра юридических лиц или засвидетельствованная в нотариальном порядке копия такой выписки, полученная не ранее чем за 30 календарных дней до даты подачи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Заявки, –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u w:val="single"/>
              </w:rPr>
              <w:t xml:space="preserve"> для юридического лица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16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выписка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 Единого государственного реестра индивидуальных предпринимателей или засвидетельствованная в нотариальном порядке копия такой выписки, полученная не ранее чем за 30 календарных дней до даты подачи Заявки,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– 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u w:val="single"/>
              </w:rPr>
              <w:t xml:space="preserve">для физического лица, зарегистрированного в качестве индивидуального предпринимателя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16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копии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учредительных документов Участника – 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u w:val="single"/>
              </w:rPr>
              <w:t xml:space="preserve">для юридического лица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16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копия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засвидетельствованного в нотариальном порядке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иностранного государства, полученная не ранее чем за 6 месяцев до дня подачи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Заявки, – </w:t>
            </w:r>
            <w:r>
              <w:rPr>
                <w:rFonts w:ascii="Times New Roman" w:hAnsi="Times New Roman" w:eastAsia="Calibri" w:cs="Times New Roman"/>
                <w:i/>
                <w:sz w:val="24"/>
                <w:szCs w:val="24"/>
                <w:u w:val="single"/>
              </w:rPr>
              <w:t xml:space="preserve">для иностранных лиц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pStyle w:val="901"/>
              <w:numPr>
                <w:ilvl w:val="0"/>
                <w:numId w:val="16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документ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подтверждающий полномочия лица на осуществление действий от имени Участника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 следующие документы, подтверждающие соответствие Участника требованиям, установленным пунктом 23 Положения: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16"/>
              </w:numPr>
              <w:ind w:left="0" w:firstLine="0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копия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справки налогового органа об отсутствии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задолженности по уплате налогов, сборов и иных обязательных платежей в бюджеты бюджетной системы Российской Федерации, полученная не ранее 1 января года, в котором подается Заявка;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16"/>
              </w:numPr>
              <w:ind w:left="0" w:firstLine="0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копия расчета по страховым взносам, представляемого плательщиками страховых взносов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составленного за последний отчетный период, предшествующий дате подачи Заявки,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форме, утвержденной уполномоченным органом, с отметкой уполномоченного органа о приеме или с приложением копии документов, подтверждающих прием уполномоченным органом такого расчета в форме элек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тронного документа, копия штатного расписания, штатно-списочный состав сотрудников, копии трудовых книжек, дипломов, сертификатов, аттестатов и удостоверений, подтверждающих наличие у Участника в штате минимального количества квалифицированного персонала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татно-списочный состав сотрудников рекомендуется представить по форме, установленной в приложении № 4 к Документации о проведении предварительного отбора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numPr>
                <w:ilvl w:val="0"/>
                <w:numId w:val="16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копии не менее 3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исполненных контрактов и (или) договоров, подтверждающих наличие у Участника, предусмотренного подпунктом «п»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пункта 23 Положения, опыта оказания услуг и (или) выполнения работ, аналогичных предмету проводимого предварительного отбора, в которых указаны установленный срок оказания услуг и (или) выполнения работ и их первоначальная стоимость, копии актов приемки 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азанных услуг и (или) выполненных работ или иных документов по таким контрактам и (или) договорам, в которых указана их окончательная стоимость и которыми подтверждается приемка заказчиком услуг и (или) работ, оказанных и (или) выполненных в полном объеме.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этом минимальный размер стоимости оказанных услуг и (или) выполненных работ по указанным исполненным контрактам и (или) договорам установлен в приложении № 3 «Минимальный размер стоимости оказанных услуг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(или)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выполненных работ» к Документации о проведении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варительного отбора в размере не более 10 процентов предельного размера обязательств по договорам строительного подряда, в соответствии с которым Участником как членом саморегулируемой организации, основанной на членстве лиц, осуществляющих строительство,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 взнос в компенсационный фонд обеспечения договорных обязательств, сформированный в соответствии с частью 2 статьи 55.16 Градостроительного кодекса Российской Федерации.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 стоимости оказанных услуг и (или) выполненных работ по всем исполненным контрактам и (или) договорам, представленным Участником и соответствующим требованиям пункта 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определяется как совокупная стоимость услуг и (или) работ по таким контрактам и (или) договорам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Обобщенные сведения о наличии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контрактов и (или) договоров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их выполнении рекомендуется представить по форме «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Перечень контрактов и (или) договоров, подтверждающих наличие у участника предварительного отбора опыта оказания услуг и (или) выполнения работ, аналогичных предмету предварительного отбора»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(приложение № 5 к Документации о проведении предварительного отбора).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pStyle w:val="901"/>
              <w:numPr>
                <w:ilvl w:val="0"/>
                <w:numId w:val="22"/>
              </w:numPr>
              <w:ind w:left="0" w:firstLine="0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копии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документов, подтверждающих соответствие уровня квалификации раб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отника, указанного в подпункте «р»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пункта 23 Поло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жения, уровню, установленному соответствующим профессиональным стандартом, утвержденным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труда;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 со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гласие на обработку персональных данных в соответствии с пунктом 9 статьи 9 Федерального закона от 27 июля 2006 года № 152-ФЗ «О персональных данных» каждого работника, персональные данные которого содержатся в заявке на участие в предварительном отборе. (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рекомендуемая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форма представлена в приложении № 7)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</w:tr>
    </w:tbl>
    <w:p>
      <w:pPr>
        <w:ind w:firstLine="709"/>
        <w:jc w:val="center"/>
        <w:spacing w:after="0" w:line="240" w:lineRule="auto"/>
        <w:rPr>
          <w:rFonts w:ascii="Times New Roman" w:hAnsi="Times New Roman" w:eastAsia="Calibri" w:cs="Times New Roman"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en-US"/>
        </w:rPr>
        <w:t xml:space="preserve">VII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.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Порядок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,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дата начала срока подачи и изменения заявок на участие в предварительном отборе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center"/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W w:w="488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2846"/>
        <w:gridCol w:w="5596"/>
      </w:tblGrid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Порядок, дата начала срока подачи и изменения заявок на 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участие в предварительном отборе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Взимание платы оператором электронной площадки с участников предварительного отбора и с органа по ведению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реестра не допускается.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Заявка, а также все сведения и документы, которые входят в ее состав в соответствии с Положением, подаются через оператора электронной площадки в виде электронного документа.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Дата начала срока подачи Заявок установлена в извещении о проведении предварительного отбора (далее – извещение) и разделе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«Общие положения» Документации о проведении предварительного отбора.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рамках одного предмета предварительного отбора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Участник вправе подать только одну Заявку, пока она не рассмотрена в порядке, предусмотренном Положением, и по ней не принято решение об отказе во включении Участника в РКПО.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  <w:tab w:val="left" w:pos="567" w:leader="none"/>
                <w:tab w:val="left" w:pos="1276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Каждая Заявка, поступившая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срок, указанный в извещении и Документации о проведении предварительного отбора,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регистрируется оператором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электронной площадки с присвоением порядкового номера.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Заявки, поданные после даты и времени окончания срока подачи заявок, не принимаются оператором электронной площадки.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Участник, подавший Заявку, вправе ее изменить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соблюдением требований, установленных Положением.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  <w:tab w:val="left" w:pos="56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Внесение изменений в Заявку осуществляется через сайт оператора электронной площадки в соответствии с регламентом работы электронной площадки. Изменения, которые вносятся в Заявку, должны быть подписаны усиленной неквалифицированной электронной подписью.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  <w:tab w:val="left" w:pos="56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подачи Заявок должен быть продлен таким образом, чт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обы с даты размещения на официальном сайте и сайте оператора электронной площадки изменений, вносимых в соответствии с пунктом 21 Положения, до даты окончания срока подачи заявок на участие в предварительном отборе этот срок составлял не менее чем 10 дней.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cyan"/>
                <w:lang w:eastAsia="ru-RU"/>
              </w:rPr>
            </w:r>
          </w:p>
        </w:tc>
      </w:tr>
    </w:tbl>
    <w:p>
      <w:pPr>
        <w:ind w:left="360"/>
        <w:jc w:val="center"/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left="360"/>
        <w:jc w:val="center"/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left="360"/>
        <w:jc w:val="center"/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tabs>
          <w:tab w:val="left" w:pos="28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en-US"/>
        </w:rPr>
        <w:t xml:space="preserve">VIII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.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Порядок и срок отзыва заявок на участие в предварительном отборе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142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W w:w="4889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2849"/>
        <w:gridCol w:w="5595"/>
      </w:tblGrid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9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9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9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Порядок и срок отзыва заявок на участие в предварительном отборе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Участник, подавший Заявку, вправе ее отозвать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соблюдением требований, установленных Положением.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Заявка может быть отозвана до даты и времени окончания срока подачи Заявок, указанных в извещении и разделе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«Общие положения» Документации о проведении предварительного отбора.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Отзыв Заявки осуществляется через сайт оператора электронной площадки в соответствии с регламентом работы электронной площадки.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highlight w:val="cy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Уведомление об отзыве Заявки должно быть подписано усиленной неквалифицированной электронной подписью Участника.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cyan"/>
                <w:lang w:eastAsia="ru-RU"/>
              </w:rPr>
            </w:r>
          </w:p>
        </w:tc>
      </w:tr>
    </w:tbl>
    <w:p>
      <w:pPr>
        <w:ind w:left="142"/>
        <w:jc w:val="both"/>
        <w:spacing w:after="0" w:line="240" w:lineRule="auto"/>
        <w:widowControl w:val="off"/>
        <w:tabs>
          <w:tab w:val="left" w:pos="993" w:leader="none"/>
        </w:tabs>
        <w:rPr>
          <w:rFonts w:ascii="Times New Roman" w:hAnsi="Times New Roman" w:eastAsia="Times New Roman" w:cs="Times New Roman"/>
          <w:i/>
          <w:sz w:val="24"/>
          <w:szCs w:val="24"/>
          <w:highlight w:val="cyan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highlight w:val="cyan"/>
          <w:lang w:eastAsia="ru-RU"/>
        </w:rPr>
      </w:r>
      <w:r>
        <w:rPr>
          <w:rFonts w:ascii="Times New Roman" w:hAnsi="Times New Roman" w:eastAsia="Times New Roman" w:cs="Times New Roman"/>
          <w:i/>
          <w:sz w:val="24"/>
          <w:szCs w:val="24"/>
          <w:highlight w:val="cyan"/>
          <w:lang w:eastAsia="ru-RU"/>
        </w:rPr>
      </w:r>
      <w:r>
        <w:rPr>
          <w:rFonts w:ascii="Times New Roman" w:hAnsi="Times New Roman" w:eastAsia="Times New Roman" w:cs="Times New Roman"/>
          <w:i/>
          <w:sz w:val="24"/>
          <w:szCs w:val="24"/>
          <w:highlight w:val="cyan"/>
          <w:lang w:eastAsia="ru-RU"/>
        </w:rPr>
      </w:r>
    </w:p>
    <w:p>
      <w:pPr>
        <w:jc w:val="center"/>
        <w:spacing w:after="0" w:line="240" w:lineRule="auto"/>
        <w:tabs>
          <w:tab w:val="left" w:pos="426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en-US"/>
        </w:rPr>
        <w:t xml:space="preserve">IX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.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Форма,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порядок и сроки предоставления участникам предварительного отбора разъяснений положений Документации о проведении предварительного отбора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142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r>
    </w:p>
    <w:tbl>
      <w:tblPr>
        <w:tblW w:w="488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2846"/>
        <w:gridCol w:w="5596"/>
      </w:tblGrid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Форма, порядок и сроки предоставления участникам предварительного отбора разъяснений положений Документации о проведении предварительного отбора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Любое заинтересованное лицо в соответствии с регламентом работы электронной площадки вправе направить в орган по вед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ению РКПО в виде электронного документа через оператора электронной площадки запрос о разъяснении Документации о проведении предварительного отбора (далее – запрос). Запрос рекомендуется направлять по форме, установленной в приложении № 6 к Документации о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проведении предварительного отбора.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В случае если запрос поступил в орган по ведению РКПО не позднее чем за 5 рабочих дней 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даты окончания срока подачи Заявок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, установленной в извещении и разделе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US" w:eastAsia="ru-RU"/>
              </w:rPr>
              <w:t xml:space="preserve">I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 «Общие положения» Документации о проведении предварительного отбора, орган п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 ведению РКПО в течение 3 рабочих дней со дня поступления запроса обязан опубликовать на официальном сайте и сайте оператора электронной площадки разъяснения Документации о проведении предварительного отбора без указания лица, от которого поступил запрос.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Разъяснение указанной документации по предварительному отбору не должно изменять ее суть.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Указанные в пункте 34 Положения запросы, поступившие позднее чем за 5 рабочих дней до даты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окончания срока подачи Заявок, не принимаются оператором электронной площадки.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left="142"/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tabs>
          <w:tab w:val="left" w:pos="426" w:leader="none"/>
        </w:tabs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en-US"/>
        </w:rPr>
        <w:t xml:space="preserve">X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. </w:t>
      </w:r>
      <w:r>
        <w:rPr>
          <w:rFonts w:ascii="Times New Roman" w:hAnsi="Times New Roman" w:eastAsia="Calibri" w:cs="Times New Roman"/>
          <w:b/>
          <w:sz w:val="24"/>
          <w:szCs w:val="24"/>
        </w:rPr>
        <w:t xml:space="preserve">Порядок рассмотрения заявок на участие в предварительном отборе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left="142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W w:w="4888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2846"/>
        <w:gridCol w:w="5596"/>
      </w:tblGrid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Требования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  <w:t xml:space="preserve">Описание</w:t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  <w:tblHeader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jc w:val="center"/>
              <w:keepNext/>
              <w:spacing w:after="0" w:line="240" w:lineRule="auto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31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Общие положения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ind w:firstLine="232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Поступившие от Участников Заявки рассматриваются комиссией по проведению предварительного отбора подрядных организаций (далее – комиссия по проведению предварительного отбора).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232"/>
              <w:jc w:val="both"/>
              <w:spacing w:after="0" w:line="240" w:lineRule="auto"/>
              <w:tabs>
                <w:tab w:val="left" w:pos="377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Комиссия по проведению предварительного отбора осуществляет рассмотрение Заявок на соответствие требованиям, установленным пунктом 30 Положения, ведет и оформляет необходимые протоколы по всем процедурам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проводимым в ходе осуществления предварительного отбора, рассматривает вопрос о включении (об отказе во включении) участника предварительного отбора в реестр квалифицированных подрядных организаций и другие действия в соответствии с настоящим Положением.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0"/>
              <w:ind w:firstLine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В период рассмотрения Заявок комиссия по проведению предварительного отбора: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0"/>
              <w:ind w:firstLine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осуществляет проверку Заявок на соответствие установленным требованиям;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0"/>
              <w:ind w:firstLine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проводит проверку Заявки и входящих в ее состав документов на предмет объективности, достоверности, отсутствия противоречий, в том числе проводит такие проверки в срок,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 превышающий 14 календарных дней, по заявлениям физических и (или) юридических лиц, поступившим в ее адрес или в адрес органа по ведению РКПО, о недостоверности информации, представленной Участником;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0"/>
              <w:ind w:firstLine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принимает решения по результатам проводимых проверок в случае, если они проводятся в связи с поступившими 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явлениями, указанными в подпункте «б» настоящего пункта. При этом такое решение должно быть принято комиссией по проведению предварительного отбора до заседания, на котором будет рассматриваться вопрос о включении (об отказе во включении) Участника в РКПО.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0"/>
              <w:ind w:firstLine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На основании результатов рассмотрения Заявок комиссия по проведению предварительного отбора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принимает одно из следующих решений: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0"/>
              <w:ind w:firstLine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включение Участника в РКПО;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0"/>
              <w:ind w:firstLine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отказ во включении Участника в РКПО в случаях, указанных в пункте 53 Положения.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0"/>
              <w:ind w:firstLine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Решение об отказе во включении Участника в РКПО принимается в следующих случаях: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0"/>
              <w:ind w:firstLine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несоответствие Участника требованиям, установленным пунктом 23 Положения;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0"/>
              <w:ind w:firstLine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Заявка не соответствует требованиям, установленным пунктом 38 Положения;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0"/>
              <w:ind w:firstLine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установление факта представления Участником недостоверной информации (сведений, документов) в составе Заявки.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0"/>
              <w:ind w:firstLine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В случае установления факта подачи одним Участником 2 и более Заявок при условии, что поданные ранее Заявки таким Участником не отозваны, все Заявки такого Участника не рассматриваются.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0"/>
              <w:ind w:firstLine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Результаты рассмотрения Заявок и решение вопросов, указанных в подпунктах 2 и 3 настоящего пункта, оформляются протоколом комиссии по проведению предвар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ительного отбора, который подписывается всеми членами комиссии, участвующими в заседании. Протокол оформляется и размещается органом по ведению РКПО на официальном сайте и сайте оператора электронной площадки в течение 2 рабочих дней со дня его подписания.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0"/>
              <w:ind w:firstLine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 В протоколе указывается информация о месте, дате и времени рассмотрения Заявок, номер предварительного отбора, наименован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(для юридического лица), адрес электронной площадки в сети «Интернет», на которой проводится предварительный отбор, фамилия, имя, отчество (при наличии) (для физического лица, зарегистрированного в качестве индивидуального предпринимателя), адрес юридич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еского лица и электронный адрес, идентификационный номер налогоплательщика каждого Участника, наличие информации и документов, предусмотренных Документацией о проведении предварительного отбора, состав членов комиссии, участвующих в рассмотрении Заявок,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инятые решения. При принятии комиссией по проведению предварительного отбора решения об отказе во включении Участника в РКПО в протоколе указывается обоснование такого решения со ссылками на нормы Положения, которым не соответствует Участник, на положения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Документации о проведении предварительного отбора, которым не соответствует Заявка этого Участника, на документы, подтверждающие такое несоответствие.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0"/>
              <w:ind w:firstLine="2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При принятии комиссией по проведению предварительного отбора решения о включении Участника в РКПО в протоколе указывается предельн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ый размер обязательств Участника по обязательствам по договорам подряда на подготовку проектной документации, по договорам строительного подряда, заключаемым с использованием конкурентных способов заключения договоров, в соответствии с которым такой участн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ик предварительного отбора, как член соответствующей саморегулируемой организации, внес взнос в компенсационный фонд обеспечения договорных обязательств, сформированный в соответствии с частью 2 статьи 55.16 Градостроительного кодекса Российской Федерации.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232"/>
              <w:jc w:val="both"/>
              <w:spacing w:after="0" w:line="240" w:lineRule="auto"/>
              <w:widowControl w:val="off"/>
              <w:tabs>
                <w:tab w:val="left" w:pos="37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Орган по ведению РК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 обязан осуществлять аудио- и (или) видеозаписи всех заседаний комиссии по проведению предварительного отбора. Любой Участник и (или) его представитель вправе участвовать в заседаниях комиссии и осуществлять аудио- и (или) видеозаписи заседания комиссии.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164"/>
        </w:trPr>
        <w:tc>
          <w:tcPr>
            <w:shd w:val="clear" w:color="auto" w:fill="auto"/>
            <w:tcW w:w="379" w:type="pct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1558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tabs>
                <w:tab w:val="left" w:pos="317" w:leader="none"/>
              </w:tabs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Принятие решения о признании предварительного отбора несостоявшимся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auto" w:fill="auto"/>
            <w:tcW w:w="3062" w:type="pct"/>
            <w:vAlign w:val="center"/>
            <w:textDirection w:val="lrTb"/>
            <w:noWrap w:val="false"/>
          </w:tcPr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В случае если после окончания срока подачи Заявок подана единственная Заявка или не подано ни одной такой заявки, предварительный отбор признается несостоявшимся.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В случае если предварительный отбор признан несостоявшимся в связи с подачей единственной Заявки и Участник, подавший такую Заявку, соответствует требованиям, установленным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пунктом 23 Положения, то он включается в РКПО.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В случае если предварительный отбор признан несостоявшимся на основании отсутствия Заявок, орган по ведению РКПО вправе объявить процедуру предварительного отбора повторно.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ind w:firstLine="540"/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если по результатам рассмотрения комиссией по проведению предварительного отбора Заявок, поданных Участниками до даты окончания срока подачи Заявок, принято решение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невключении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РКПО всех Участников или о включении в РКПО только одного Участника, предварительный отбор признается несостоявшимся.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ind w:firstLine="235"/>
              <w:jc w:val="both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</w:tbl>
    <w:p>
      <w:pPr>
        <w:ind w:left="142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r>
    </w:p>
    <w:p>
      <w:pPr>
        <w:jc w:val="right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  <w:highlight w:val="cyan"/>
        </w:rPr>
        <w:br w:type="page" w:clear="all"/>
      </w:r>
      <w:r>
        <w:rPr>
          <w:rFonts w:ascii="Times New Roman" w:hAnsi="Times New Roman" w:eastAsia="Calibri" w:cs="Times New Roman"/>
          <w:sz w:val="24"/>
          <w:szCs w:val="24"/>
        </w:rPr>
        <w:t xml:space="preserve">Приложение № 1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584"/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ЗАЯВКА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НА УЧАСТИЕ В ПРЕДВАРИТЕЛЬНОМ ОТБОРЕ ПОДРЯДНЫХ ОРГАНИЗАЦИЙ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ПО ИЗВЕЩЕНИЮ № _______________ ОТ __________________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left="584"/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584"/>
        <w:jc w:val="right"/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  <w:u w:val="single"/>
        </w:rPr>
        <w:t xml:space="preserve">«</w:t>
      </w:r>
      <w:r>
        <w:rPr>
          <w:rFonts w:ascii="Times New Roman" w:hAnsi="Times New Roman" w:eastAsia="Calibri" w:cs="Times New Roman"/>
          <w:sz w:val="24"/>
          <w:szCs w:val="24"/>
          <w:u w:val="single"/>
        </w:rPr>
        <w:tab/>
        <w:t xml:space="preserve">    </w:t>
      </w:r>
      <w:r>
        <w:rPr>
          <w:rFonts w:ascii="Times New Roman" w:hAnsi="Times New Roman" w:eastAsia="Calibri" w:cs="Times New Roman"/>
          <w:sz w:val="24"/>
          <w:szCs w:val="24"/>
          <w:u w:val="single"/>
        </w:rPr>
        <w:t xml:space="preserve">  »</w:t>
      </w:r>
      <w:r>
        <w:rPr>
          <w:rFonts w:ascii="Times New Roman" w:hAnsi="Times New Roman" w:eastAsia="Calibri" w:cs="Times New Roman"/>
          <w:sz w:val="24"/>
          <w:szCs w:val="24"/>
        </w:rPr>
        <w:t xml:space="preserve"> ______________ 2</w:t>
      </w:r>
      <w:r>
        <w:rPr>
          <w:rFonts w:ascii="Times New Roman" w:hAnsi="Times New Roman" w:eastAsia="Calibri" w:cs="Times New Roman"/>
          <w:sz w:val="24"/>
          <w:szCs w:val="24"/>
        </w:rPr>
        <w:t xml:space="preserve">0</w:t>
      </w:r>
      <w:r>
        <w:rPr>
          <w:rFonts w:ascii="Times New Roman" w:hAnsi="Times New Roman" w:eastAsia="Calibri" w:cs="Times New Roman"/>
          <w:sz w:val="24"/>
          <w:szCs w:val="24"/>
        </w:rPr>
        <w:t xml:space="preserve">___ года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Изучив условия Извещения о проведении предварительного отбора подрядных организаций № __________ от __________, и принимая установленные в </w:t>
      </w:r>
      <w:r>
        <w:rPr>
          <w:rFonts w:ascii="Times New Roman" w:hAnsi="Times New Roman" w:eastAsia="Calibri" w:cs="Times New Roman"/>
          <w:sz w:val="24"/>
          <w:szCs w:val="24"/>
        </w:rPr>
        <w:t xml:space="preserve">нем требования и условия, 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          (указывается полное наименование, организационно правовая форма участника предварительного отбора или ФИО индивидуального предпринимателя)</w:t>
      </w:r>
      <w:r>
        <w:rPr>
          <w:rFonts w:ascii="Times New Roman" w:hAnsi="Times New Roman" w:eastAsia="Calibri" w:cs="Times New Roman"/>
          <w:sz w:val="24"/>
          <w:szCs w:val="24"/>
          <w:u w:val="single"/>
        </w:rPr>
        <w:t xml:space="preserve">  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 в лице 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           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  (указывается фамилия, имя, отчество (при наличии) представителя участника предварительного отбора – юридического лица), действующего на основании (указывается документ, на основании которого действует представитель юридического лица или физического лица)</w:t>
      </w:r>
      <w:r>
        <w:rPr>
          <w:rFonts w:ascii="Times New Roman" w:hAnsi="Times New Roman" w:eastAsia="Calibri" w:cs="Times New Roman"/>
          <w:sz w:val="24"/>
          <w:szCs w:val="24"/>
        </w:rPr>
        <w:t xml:space="preserve"> просит рассмотреть заявку на участие в предварительном отборе подрядных организаций по следующему предмету электронного аукциона: 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(указывается предмет предварительного отбора) 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Документация о проведении предварительного отбора изучена в полном объеме и признана полной и достаточной для подготовки настоящей Заявки.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Настоящим гарантируем достоверность представленной информации и подтверждаем право 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Министерства 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жилищно-коммунального хозяйства, энергетики, цифровизации и связи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 Забайкальского края </w:t>
      </w:r>
      <w:r>
        <w:rPr>
          <w:rFonts w:ascii="Times New Roman" w:hAnsi="Times New Roman" w:eastAsia="Calibri" w:cs="Times New Roman"/>
          <w:sz w:val="24"/>
          <w:szCs w:val="24"/>
        </w:rPr>
        <w:t xml:space="preserve">получать в открытых информационных источниках, в уполномоченных органах власти информацию, уточняющую представленные нами в заявке сведения.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Сообщаем о себе следующие сведения: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709"/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p>
      <w:pPr>
        <w:ind w:left="709"/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  <w:t xml:space="preserve">а</w:t>
      </w:r>
      <w:r>
        <w:rPr>
          <w:rFonts w:ascii="Times New Roman" w:hAnsi="Times New Roman" w:eastAsia="Calibri" w:cs="Times New Roman"/>
          <w:i/>
          <w:sz w:val="24"/>
          <w:szCs w:val="24"/>
        </w:rPr>
        <w:t xml:space="preserve">) для юридического лица:</w:t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tbl>
      <w:tblPr>
        <w:tblStyle w:val="89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Полное наименование юридического лица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Сведения об организационно-правовой форме юридического лица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Место нахождения юридического лица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Адрес юридического лица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Идентификационный номер налогоплательщика (при наличии) учредителей (ФИО учредителей / ИНН)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 _____________/ИНН________________,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 _____________/ИНН _______________,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 _____________/ИНН _______________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Идентификационный номер налогоплательщика 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членов коллегиального исполнительного органа (ФИО членов коллегиального исполнительного органа / ИНН)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 _____________/ИНН________________,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б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 _____________/ИНН _______________,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) _____________/ИНН _______________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Идентификационный номер налогоплательщика лица, исполняющего функции единоличного исполнительного органа участника (ФИО такого лица / ИНН)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_______________/ИНН ________________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ФИО лица, уполномоченного на осуществление действий от имени участника предварительного отбора и на подачу заявки / ИНН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_______________/ИНН ________________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Телефон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Адрес электронной почты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  <w:t xml:space="preserve">б</w:t>
      </w:r>
      <w:r>
        <w:rPr>
          <w:rFonts w:ascii="Times New Roman" w:hAnsi="Times New Roman" w:eastAsia="Calibri" w:cs="Times New Roman"/>
          <w:i/>
          <w:sz w:val="24"/>
          <w:szCs w:val="24"/>
        </w:rPr>
        <w:t xml:space="preserve">) для физического лица, зарегистрированного в качестве индивидуального предпринимателя:</w:t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tbl>
      <w:tblPr>
        <w:tblStyle w:val="89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>
        <w:tblPrEx/>
        <w:trPr>
          <w:trHeight w:val="397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Фамилия, имя отчество (при наличии)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397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Паспортные данные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397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Сведения о месте жительства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397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Номер контактного телефона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>
          <w:trHeight w:val="397"/>
        </w:trPr>
        <w:tc>
          <w:tcPr>
            <w:tcW w:w="4678" w:type="dxa"/>
            <w:vAlign w:val="center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Адрес электронной почты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(при наличии)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67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</w:tbl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Настоящим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       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   (</w:t>
      </w:r>
      <w:r>
        <w:rPr>
          <w:rFonts w:ascii="Times New Roman" w:hAnsi="Times New Roman" w:cs="Times New Roman"/>
          <w:i/>
          <w:sz w:val="24"/>
          <w:szCs w:val="24"/>
          <w:u w:val="single"/>
        </w:rPr>
        <w:t xml:space="preserve">указывается полное наименование и организационно-правовая форма юридического лица или Фамилия Имя Отчество (при наличии отчества) для индивидуального предпринимателя)       </w:t>
      </w:r>
      <w:r>
        <w:rPr>
          <w:rFonts w:ascii="Times New Roman" w:hAnsi="Times New Roman" w:cs="Times New Roman"/>
          <w:sz w:val="24"/>
          <w:szCs w:val="24"/>
        </w:rPr>
        <w:t xml:space="preserve"> подтверждает соответствие требованиям, установленным в Документации о проведении предварительного отбора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К настоящей заявке на участие в предварительном отборе прилагаются документы, являющиеся неотъемлемой частью заявки 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    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   (</w:t>
      </w:r>
      <w:r>
        <w:rPr>
          <w:rFonts w:ascii="Times New Roman" w:hAnsi="Times New Roman" w:eastAsia="Calibri" w:cs="Times New Roman"/>
          <w:i/>
          <w:sz w:val="24"/>
          <w:szCs w:val="24"/>
          <w:u w:val="single"/>
        </w:rPr>
        <w:t xml:space="preserve">указывается наименование участника предварительного отбора)         </w:t>
      </w:r>
      <w:r>
        <w:rPr>
          <w:rFonts w:ascii="Times New Roman" w:hAnsi="Times New Roman" w:eastAsia="Calibri" w:cs="Times New Roman"/>
          <w:sz w:val="24"/>
          <w:szCs w:val="24"/>
        </w:rPr>
        <w:t xml:space="preserve"> на участие в предварительном отборе.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Опись прилагаемых документов: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tbl>
      <w:tblPr>
        <w:tblStyle w:val="896"/>
        <w:tblW w:w="0" w:type="auto"/>
        <w:tblInd w:w="108" w:type="dxa"/>
        <w:tblLook w:val="04A0" w:firstRow="1" w:lastRow="0" w:firstColumn="1" w:lastColumn="0" w:noHBand="0" w:noVBand="1"/>
      </w:tblPr>
      <w:tblGrid>
        <w:gridCol w:w="515"/>
        <w:gridCol w:w="7189"/>
        <w:gridCol w:w="1532"/>
      </w:tblGrid>
      <w:tr>
        <w:tblPrEx/>
        <w:trPr/>
        <w:tc>
          <w:tcPr>
            <w:tcW w:w="516" w:type="dxa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7295" w:type="dxa"/>
            <w:textDirection w:val="lrTb"/>
            <w:noWrap w:val="false"/>
          </w:tcPr>
          <w:p>
            <w:pPr>
              <w:ind w:left="-57"/>
              <w:jc w:val="both"/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545" w:type="dxa"/>
            <w:vAlign w:val="bottom"/>
            <w:textDirection w:val="lrTb"/>
            <w:noWrap w:val="false"/>
          </w:tcPr>
          <w:p>
            <w:pPr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____ л.;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16" w:type="dxa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7295" w:type="dxa"/>
            <w:textDirection w:val="lrTb"/>
            <w:noWrap w:val="false"/>
          </w:tcPr>
          <w:p>
            <w:pPr>
              <w:ind w:left="-57"/>
              <w:jc w:val="both"/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545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____ л.;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16" w:type="dxa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7295" w:type="dxa"/>
            <w:textDirection w:val="lrTb"/>
            <w:noWrap w:val="false"/>
          </w:tcPr>
          <w:p>
            <w:pPr>
              <w:ind w:left="-57"/>
              <w:jc w:val="both"/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545" w:type="dxa"/>
            <w:textDirection w:val="lrTb"/>
            <w:noWrap w:val="false"/>
          </w:tcPr>
          <w:p>
            <w:pPr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____ л.;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516" w:type="dxa"/>
            <w:textDirection w:val="lrTb"/>
            <w:noWrap w:val="false"/>
          </w:tcPr>
          <w:p>
            <w:pPr>
              <w:jc w:val="both"/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7295" w:type="dxa"/>
            <w:textDirection w:val="lrTb"/>
            <w:noWrap w:val="false"/>
          </w:tcPr>
          <w:p>
            <w:pPr>
              <w:ind w:left="-57"/>
              <w:jc w:val="both"/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1545" w:type="dxa"/>
            <w:textDirection w:val="lrTb"/>
            <w:noWrap w:val="false"/>
          </w:tcPr>
          <w:p>
            <w:pPr>
              <w:tabs>
                <w:tab w:val="left" w:pos="1134" w:leader="none"/>
              </w:tabs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на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 ____ л.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</w:tr>
    </w:tbl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Участник предварительного отбора                                                                Ф.И.О.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(</w:t>
      </w:r>
      <w:r>
        <w:rPr>
          <w:rFonts w:ascii="Times New Roman" w:hAnsi="Times New Roman" w:eastAsia="Calibri" w:cs="Times New Roman"/>
          <w:i/>
          <w:sz w:val="24"/>
          <w:szCs w:val="24"/>
        </w:rPr>
        <w:t xml:space="preserve">уполномоченный</w:t>
      </w:r>
      <w:r>
        <w:rPr>
          <w:rFonts w:ascii="Times New Roman" w:hAnsi="Times New Roman" w:eastAsia="Calibri" w:cs="Times New Roman"/>
          <w:i/>
          <w:sz w:val="24"/>
          <w:szCs w:val="24"/>
        </w:rPr>
        <w:t xml:space="preserve"> представитель</w:t>
      </w:r>
      <w:r>
        <w:rPr>
          <w:rFonts w:ascii="Times New Roman" w:hAnsi="Times New Roman" w:eastAsia="Calibri" w:cs="Times New Roman"/>
          <w:sz w:val="24"/>
          <w:szCs w:val="24"/>
        </w:rPr>
        <w:t xml:space="preserve">)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  <w:t xml:space="preserve">          М.П.</w:t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p>
      <w:pPr>
        <w:ind w:left="5812"/>
        <w:jc w:val="right"/>
        <w:spacing w:after="0" w:line="240" w:lineRule="auto"/>
        <w:rPr>
          <w:rFonts w:ascii="Times New Roman" w:hAnsi="Times New Roman" w:eastAsia="Calibri" w:cs="Times New Roman"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</w:p>
    <w:p>
      <w:pPr>
        <w:ind w:left="5812"/>
        <w:jc w:val="right"/>
        <w:spacing w:after="0" w:line="240" w:lineRule="auto"/>
        <w:rPr>
          <w:rFonts w:ascii="Times New Roman" w:hAnsi="Times New Roman" w:eastAsia="Calibri" w:cs="Times New Roman"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</w:p>
    <w:p>
      <w:pPr>
        <w:rPr>
          <w:rFonts w:ascii="Times New Roman" w:hAnsi="Times New Roman" w:eastAsia="Calibri" w:cs="Times New Roman"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sz w:val="24"/>
          <w:szCs w:val="24"/>
          <w:highlight w:val="cyan"/>
        </w:rPr>
        <w:br w:type="page" w:clear="all"/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</w:p>
    <w:p>
      <w:pPr>
        <w:ind w:left="5812"/>
        <w:jc w:val="right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Приложение № 2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5529"/>
        <w:jc w:val="right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ТРЕБОВАНИЯ К МИНИМАЛЬНОМУ КОЛИЧЕСТВУ КВАЛИФИЦИРОВАННОГО ПЕРСОНАЛА, ВХОДЯЩЕГО В ШТАТ УЧАСТНИКА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Участником </w:t>
      </w:r>
      <w:r>
        <w:rPr>
          <w:rFonts w:ascii="Times New Roman" w:hAnsi="Times New Roman" w:cs="Times New Roman"/>
          <w:sz w:val="24"/>
          <w:szCs w:val="24"/>
        </w:rPr>
        <w:t xml:space="preserve">предварительного отбора должны быть соблюдены следующие требования к минимальному количеству квалифицированного персонала, входящего в штат Участника: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квалификационные требования к индивидуальным предпринимателям, а также руков</w:t>
      </w:r>
      <w:r>
        <w:rPr>
          <w:rFonts w:ascii="Times New Roman" w:hAnsi="Times New Roman" w:cs="Times New Roman"/>
          <w:sz w:val="24"/>
          <w:szCs w:val="24"/>
        </w:rPr>
        <w:t xml:space="preserve">одителям юридического лица, самостоятельно организующим строительство, реконструкцию, капитальный ремонт, снос объектов капитального строительства, - наличие высшего образования соответствующего профиля и стажа работы по специальности не менее чем пять лет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 xml:space="preserve">требования к наличию у индивидуального предпринимателя или юридического лица специалистов по организации строительства (главных инженеров проектов), трудовая функция </w:t>
      </w:r>
      <w:r>
        <w:rPr>
          <w:rFonts w:ascii="Times New Roman" w:hAnsi="Times New Roman" w:cs="Times New Roman"/>
          <w:sz w:val="24"/>
          <w:szCs w:val="24"/>
        </w:rPr>
        <w:t xml:space="preserve">которых включает соответственно организацию выполнения работ по строительству, реконструкции, капитальному ремонту, сносу объектов капитального строительства и сведения о которых включены в национальные реестры специалистов, предусмотренные статьей 55.5-1 </w:t>
      </w:r>
      <w:r>
        <w:rPr>
          <w:rFonts w:ascii="Times New Roman" w:hAnsi="Times New Roman" w:cs="Times New Roman"/>
          <w:sz w:val="24"/>
          <w:szCs w:val="24"/>
        </w:rPr>
        <w:t xml:space="preserve">Градостроительного к</w:t>
      </w:r>
      <w:r>
        <w:rPr>
          <w:rFonts w:ascii="Times New Roman" w:hAnsi="Times New Roman" w:cs="Times New Roman"/>
          <w:sz w:val="24"/>
          <w:szCs w:val="24"/>
        </w:rPr>
        <w:t xml:space="preserve">одекса </w:t>
      </w:r>
      <w:r>
        <w:rPr>
          <w:rFonts w:ascii="Times New Roman" w:hAnsi="Times New Roman" w:cs="Times New Roman"/>
          <w:sz w:val="24"/>
          <w:szCs w:val="24"/>
        </w:rPr>
        <w:t xml:space="preserve">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, - не менее чем два специалиста по месту основной работы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СПРАВОЧНО (в соответствии со статьей 55.5-1 Градостроительного кодекса Российской Федерации):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Специалистом по организации строительства является физическое лицо, которое имеет право осуществлять по трудовому договору, заключенному</w:t>
      </w:r>
      <w:r>
        <w:rPr>
          <w:rFonts w:ascii="Times New Roman" w:hAnsi="Times New Roman" w:cs="Times New Roman"/>
          <w:sz w:val="24"/>
          <w:szCs w:val="24"/>
        </w:rPr>
        <w:t xml:space="preserve"> с индивидуальным предпринимателем или юридическим лицом, трудовые функции по организации выполнения работ по строительству, реконструкции, капитальному ремонту, сносу объектов капитального строительства, в том числе в должности главного инженера проекта.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должностным обязанностям специалистов по организации строительства в том числе относятся: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приемка объектов капитального</w:t>
      </w:r>
      <w:r>
        <w:rPr>
          <w:rFonts w:ascii="Times New Roman" w:hAnsi="Times New Roman" w:cs="Times New Roman"/>
          <w:sz w:val="24"/>
          <w:szCs w:val="24"/>
        </w:rPr>
        <w:t xml:space="preserve"> строительства, частей объектов капитального строительства, этапов строительства, реконструкции объектов капитального строительства, приемка выполненных работ по строительству, реконструкции, капитальному ремонту, сносу объектов капитального строительства;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подписание следующих документов: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акта приемки объекта капитального строительства;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акта, подтверждающего соответствие параметров постр</w:t>
      </w:r>
      <w:r>
        <w:rPr>
          <w:rFonts w:ascii="Times New Roman" w:hAnsi="Times New Roman" w:cs="Times New Roman"/>
          <w:sz w:val="24"/>
          <w:szCs w:val="24"/>
        </w:rPr>
        <w:t xml:space="preserve">оенного, реконструированного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</w:t>
      </w:r>
      <w:r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акта о подключении (технол</w:t>
      </w:r>
      <w:r>
        <w:rPr>
          <w:rFonts w:ascii="Times New Roman" w:hAnsi="Times New Roman" w:cs="Times New Roman"/>
          <w:sz w:val="24"/>
          <w:szCs w:val="24"/>
        </w:rPr>
        <w:t xml:space="preserve">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физическом лице включаются в национальный реестр специалистов в области строительства Национальным объединением саморегулируемых организаций, основанных на членстве лиц, осуществляющих строительство.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физическом лице включаются в национальные реестры специалистов на основании заявления такого лица при условии его соответствия следующим минимальным требованиям: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наличие высшего образования по специальности или направлению подготовки в области строительства;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наличие стажа работы на инженерных</w:t>
      </w:r>
      <w:r>
        <w:rPr>
          <w:rFonts w:ascii="Times New Roman" w:hAnsi="Times New Roman" w:cs="Times New Roman"/>
          <w:sz w:val="24"/>
          <w:szCs w:val="24"/>
        </w:rPr>
        <w:t xml:space="preserve"> должностях не менее чем три года в организациях, выполняющих инженерные изыскания, осуществляющих подготовку проектной документации, в организациях, осуществляющих строительство, реконструкцию, капитальный ремонт, снос объектов капитального строительства;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наличие общего трудового стажа по профессии, специальности или направлению подготовки в области строительства не менее чем десять лет или не менее чем пять лет при прохождении в соответствии с Федеральным законом</w:t>
      </w:r>
      <w:r>
        <w:rPr>
          <w:rFonts w:ascii="Times New Roman" w:hAnsi="Times New Roman" w:cs="Times New Roman"/>
          <w:sz w:val="24"/>
          <w:szCs w:val="24"/>
        </w:rPr>
        <w:t xml:space="preserve"> от 3 июля 2016 года № 238-ФЗ «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независимой оценке квалификации»</w:t>
      </w:r>
      <w:r>
        <w:rPr>
          <w:rFonts w:ascii="Times New Roman" w:hAnsi="Times New Roman" w:cs="Times New Roman"/>
          <w:sz w:val="24"/>
          <w:szCs w:val="24"/>
        </w:rPr>
        <w:t xml:space="preserve"> независимой оценки квалификации физического лица, претендующ</w:t>
      </w:r>
      <w:r>
        <w:rPr>
          <w:rFonts w:ascii="Times New Roman" w:hAnsi="Times New Roman" w:cs="Times New Roman"/>
          <w:sz w:val="24"/>
          <w:szCs w:val="24"/>
        </w:rPr>
        <w:t xml:space="preserve">его на осуществление профессиональной деятельности по организации выполнения работ по инженерным изысканиям, подготовке проектной документации, работ по строительству, реконструкции, капитальному ремонту, сносу объекта капитального строительства, на соотве</w:t>
      </w:r>
      <w:r>
        <w:rPr>
          <w:rFonts w:ascii="Times New Roman" w:hAnsi="Times New Roman" w:cs="Times New Roman"/>
          <w:sz w:val="24"/>
          <w:szCs w:val="24"/>
        </w:rPr>
        <w:t xml:space="preserve">тствие положениям профессионального стандарта, устанавливающего характеристики квалификации, необходимой работнику для осуществления указанного вида профессиональной деятельности, выполнения трудовых функций, должностных обязанностей, установленных статьей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55.5-1 Градостроительного кодекса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не реже одного раза в пять лет прохождение в соответствии с Федеральным законом </w:t>
      </w:r>
      <w:r>
        <w:rPr>
          <w:rFonts w:ascii="Times New Roman" w:hAnsi="Times New Roman" w:cs="Times New Roman"/>
          <w:sz w:val="24"/>
          <w:szCs w:val="24"/>
        </w:rPr>
        <w:t xml:space="preserve">от 3 июля 2016 года № 238-ФЗ «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независимой оценке квалификации»</w:t>
      </w:r>
      <w:r>
        <w:rPr>
          <w:rFonts w:ascii="Times New Roman" w:hAnsi="Times New Roman" w:cs="Times New Roman"/>
          <w:sz w:val="24"/>
          <w:szCs w:val="24"/>
        </w:rPr>
        <w:t xml:space="preserve"> независимой оценки квалификации физического лица, претендующ</w:t>
      </w:r>
      <w:r>
        <w:rPr>
          <w:rFonts w:ascii="Times New Roman" w:hAnsi="Times New Roman" w:cs="Times New Roman"/>
          <w:sz w:val="24"/>
          <w:szCs w:val="24"/>
        </w:rPr>
        <w:t xml:space="preserve">его на осуществление профессиональной деятельности по организации выполнения работ по инженерным изысканиям, подготовке проектной документации, работ по строительству, реконструкции, капитальному ремонту, сносу объекта капитального строительства, на соотве</w:t>
      </w:r>
      <w:r>
        <w:rPr>
          <w:rFonts w:ascii="Times New Roman" w:hAnsi="Times New Roman" w:cs="Times New Roman"/>
          <w:sz w:val="24"/>
          <w:szCs w:val="24"/>
        </w:rPr>
        <w:t xml:space="preserve">тствие положениям профессионального стандарта, устанавливающего характеристики квалификации, необходимой работнику для осуществления указанного вида профессиональной деятельности, выполнения трудовых функций, должностных обязанностей, установленных статьей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55.5-1 Градостроительного кодекса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наличие документа, подтверждающ</w:t>
      </w:r>
      <w:r>
        <w:rPr>
          <w:rFonts w:ascii="Times New Roman" w:hAnsi="Times New Roman" w:cs="Times New Roman"/>
          <w:sz w:val="24"/>
          <w:szCs w:val="24"/>
        </w:rPr>
        <w:t xml:space="preserve">его право иностранного гражданина на осуществление трудовой деятельности на территории Российской Федерации, за исключением случаев, если в соответствии с федеральными законами или международными договорами Российской Федерации такой документ не требуется;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tabs>
          <w:tab w:val="left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6)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отсутствие непогашенной или неснятой судимости за совершение умышленного преступления.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eastAsia="Calibri" w:cs="Times New Roman"/>
          <w:i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i/>
          <w:sz w:val="24"/>
          <w:szCs w:val="24"/>
          <w:highlight w:val="cyan"/>
        </w:rPr>
        <w:br w:type="page" w:clear="all"/>
      </w:r>
      <w:r>
        <w:rPr>
          <w:rFonts w:ascii="Times New Roman" w:hAnsi="Times New Roman" w:eastAsia="Calibri" w:cs="Times New Roman"/>
          <w:i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i/>
          <w:sz w:val="24"/>
          <w:szCs w:val="24"/>
          <w:highlight w:val="cyan"/>
        </w:rPr>
      </w:r>
    </w:p>
    <w:p>
      <w:pPr>
        <w:jc w:val="right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Приложение № 3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МИНИМАЛЬНЫЙ РАЗМЕР СТОИМОСТИ ОКАЗАННЫХ УСЛУГ И (ИЛИ) ВЫПОЛНЕННЫХ РАБОТ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tbl>
      <w:tblPr>
        <w:tblStyle w:val="896"/>
        <w:tblW w:w="9494" w:type="dxa"/>
        <w:jc w:val="center"/>
        <w:tblLook w:val="04A0" w:firstRow="1" w:lastRow="0" w:firstColumn="1" w:lastColumn="0" w:noHBand="0" w:noVBand="1"/>
      </w:tblPr>
      <w:tblGrid>
        <w:gridCol w:w="564"/>
        <w:gridCol w:w="5318"/>
        <w:gridCol w:w="3612"/>
      </w:tblGrid>
      <w:tr>
        <w:tblPrEx/>
        <w:trPr>
          <w:jc w:val="center"/>
          <w:trHeight w:val="3552"/>
        </w:trPr>
        <w:tc>
          <w:tcPr>
            <w:tcW w:w="564" w:type="dxa"/>
            <w:vAlign w:val="center"/>
            <w:textDirection w:val="lrTb"/>
            <w:noWrap w:val="false"/>
          </w:tcPr>
          <w:p>
            <w:pPr>
              <w:pStyle w:val="900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п/п</w:t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r>
          </w:p>
        </w:tc>
        <w:tc>
          <w:tcPr>
            <w:tcW w:w="5318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Предельный размер обязательств по договорам строительного подряда, в соответствии с которым Участником как членом саморе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гулируемой организации, основанной на членстве лиц, осуществляющих строительство, внесен взнос в компенсационный фонд обеспечения договорных обязательств, сформированный в соответствии с частью 2 статьи 55.16 Градостроительного кодекса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ответственности члена саморегулируемой организации)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12" w:type="dxa"/>
            <w:vAlign w:val="center"/>
            <w:textDirection w:val="lrTb"/>
            <w:noWrap w:val="false"/>
          </w:tcPr>
          <w:p>
            <w:pPr>
              <w:pStyle w:val="900"/>
              <w:jc w:val="center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Минимальный размер стоимости оказанных услуг и (или) выполненных работ по исполненным контрактам и (или) договорам*</w:t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r>
          </w:p>
        </w:tc>
      </w:tr>
      <w:tr>
        <w:tblPrEx/>
        <w:trPr>
          <w:jc w:val="center"/>
        </w:trPr>
        <w:tc>
          <w:tcPr>
            <w:tcW w:w="564" w:type="dxa"/>
            <w:textDirection w:val="lrTb"/>
            <w:noWrap w:val="false"/>
          </w:tcPr>
          <w:p>
            <w:pPr>
              <w:pStyle w:val="9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превышает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миллионов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 ответственности члена саморегулируемой организации)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12" w:type="dxa"/>
            <w:vAlign w:val="center"/>
            <w:textDirection w:val="lrTb"/>
            <w:noWrap w:val="false"/>
          </w:tcPr>
          <w:p>
            <w:pPr>
              <w:pStyle w:val="9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% от предельного размера обязательств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564" w:type="dxa"/>
            <w:textDirection w:val="lrTb"/>
            <w:noWrap w:val="false"/>
          </w:tcPr>
          <w:p>
            <w:pPr>
              <w:pStyle w:val="9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8" w:type="dxa"/>
            <w:textDirection w:val="lrTb"/>
            <w:noWrap w:val="false"/>
          </w:tcPr>
          <w:p>
            <w:pPr>
              <w:pStyle w:val="9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превышает 500 миллионов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 ответственности члена саморегулируемой организации)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12" w:type="dxa"/>
            <w:vAlign w:val="center"/>
            <w:textDirection w:val="lrTb"/>
            <w:noWrap w:val="false"/>
          </w:tcPr>
          <w:p>
            <w:pPr>
              <w:pStyle w:val="9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1 % от предельного размера обязательств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437"/>
        </w:trPr>
        <w:tc>
          <w:tcPr>
            <w:tcW w:w="564" w:type="dxa"/>
            <w:textDirection w:val="lrTb"/>
            <w:noWrap w:val="false"/>
          </w:tcPr>
          <w:p>
            <w:pPr>
              <w:pStyle w:val="9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8" w:type="dxa"/>
            <w:textDirection w:val="lrTb"/>
            <w:noWrap w:val="false"/>
          </w:tcPr>
          <w:p>
            <w:pPr>
              <w:pStyle w:val="9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превышает 3 миллиарда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 ответственности члена саморегулируемой организации)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12" w:type="dxa"/>
            <w:vAlign w:val="center"/>
            <w:textDirection w:val="lrTb"/>
            <w:noWrap w:val="false"/>
          </w:tcPr>
          <w:p>
            <w:pPr>
              <w:pStyle w:val="9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0,17 % от предельного размера обязательств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  <w:trHeight w:val="437"/>
        </w:trPr>
        <w:tc>
          <w:tcPr>
            <w:tcW w:w="564" w:type="dxa"/>
            <w:textDirection w:val="lrTb"/>
            <w:noWrap w:val="false"/>
          </w:tcPr>
          <w:p>
            <w:pPr>
              <w:pStyle w:val="9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превышает 10 миллиардов рублей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четвертый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 ответственности члена саморегулируемой организации)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12" w:type="dxa"/>
            <w:vAlign w:val="center"/>
            <w:vMerge w:val="restart"/>
            <w:textDirection w:val="lrTb"/>
            <w:noWrap w:val="false"/>
          </w:tcPr>
          <w:p>
            <w:pPr>
              <w:pStyle w:val="9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0,05 % от предельного размера обязательств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jc w:val="center"/>
        </w:trPr>
        <w:tc>
          <w:tcPr>
            <w:tcW w:w="564" w:type="dxa"/>
            <w:textDirection w:val="lrTb"/>
            <w:noWrap w:val="false"/>
          </w:tcPr>
          <w:p>
            <w:pPr>
              <w:pStyle w:val="9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531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составляет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миллиардов рублей и более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пятый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уровень ответственности члена саморегулируемой организации)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612" w:type="dxa"/>
            <w:vMerge w:val="continue"/>
            <w:textDirection w:val="lrTb"/>
            <w:noWrap w:val="false"/>
          </w:tcPr>
          <w:p>
            <w:pPr>
              <w:pStyle w:val="900"/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highlight w:val="cyan"/>
              </w:rPr>
            </w:r>
          </w:p>
        </w:tc>
      </w:tr>
    </w:tbl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*</w:t>
      </w:r>
      <w:r>
        <w:rPr>
          <w:rFonts w:ascii="Times New Roman" w:hAnsi="Times New Roman" w:cs="Times New Roman"/>
          <w:sz w:val="24"/>
          <w:szCs w:val="24"/>
        </w:rPr>
        <w:t xml:space="preserve"> Размер стоимости оказанных</w:t>
      </w:r>
      <w:r>
        <w:rPr>
          <w:rFonts w:ascii="Times New Roman" w:hAnsi="Times New Roman" w:cs="Times New Roman"/>
          <w:sz w:val="24"/>
          <w:szCs w:val="24"/>
        </w:rPr>
        <w:t xml:space="preserve"> услуг и (или) выполненных работ по всем исполненным контрактам и (или) договорам, представленным Участником и соответствующим требованиям пункта 23 Положения, определяется как совокупная стоимость услуг и (или) работ по таким контрактам и (или) договорам.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</w:p>
    <w:p>
      <w:pPr>
        <w:rPr>
          <w:rFonts w:ascii="Times New Roman" w:hAnsi="Times New Roman" w:eastAsia="Calibri" w:cs="Times New Roman"/>
          <w:b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  <w:br w:type="page" w:clear="all"/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b/>
          <w:sz w:val="24"/>
          <w:szCs w:val="24"/>
          <w:highlight w:val="cyan"/>
        </w:rPr>
      </w:r>
    </w:p>
    <w:p>
      <w:pPr>
        <w:jc w:val="right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Приложение № 4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ШТАТНО-СПИСОЧНЫЙ СОСТАВ СОТРУДНИКОВ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u w:val="single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eastAsia="ru-RU"/>
        </w:rPr>
        <w:t xml:space="preserve">Участник предварительного отбора подрядных организаций: </w:t>
      </w:r>
      <w:r>
        <w:rPr>
          <w:rFonts w:ascii="Times New Roman" w:hAnsi="Times New Roman" w:eastAsia="Times New Roman" w:cs="Times New Roman"/>
          <w:bCs/>
          <w:i/>
          <w:sz w:val="24"/>
          <w:szCs w:val="24"/>
          <w:u w:val="single"/>
          <w:lang w:eastAsia="ru-RU"/>
        </w:rPr>
        <w:t xml:space="preserve">(указывается полное наименование и организационно правовая форма для юридического лица или Ф.И.О. (при наличии отчества) для индивидуального </w:t>
      </w:r>
      <w:r>
        <w:rPr>
          <w:rFonts w:ascii="Times New Roman" w:hAnsi="Times New Roman" w:eastAsia="Times New Roman" w:cs="Times New Roman"/>
          <w:bCs/>
          <w:i/>
          <w:sz w:val="24"/>
          <w:szCs w:val="24"/>
          <w:u w:val="single"/>
          <w:lang w:eastAsia="ru-RU"/>
        </w:rPr>
        <w:t xml:space="preserve">предпринимателя</w:t>
      </w:r>
      <w:r>
        <w:rPr>
          <w:rFonts w:ascii="Times New Roman" w:hAnsi="Times New Roman" w:eastAsia="Times New Roman" w:cs="Times New Roman"/>
          <w:bCs/>
          <w:sz w:val="24"/>
          <w:szCs w:val="24"/>
          <w:u w:val="single"/>
          <w:lang w:eastAsia="ru-RU"/>
        </w:rPr>
        <w:t xml:space="preserve"> .</w:t>
      </w:r>
      <w:r>
        <w:rPr>
          <w:rFonts w:ascii="Times New Roman" w:hAnsi="Times New Roman" w:eastAsia="Times New Roman" w:cs="Times New Roman"/>
          <w:bCs/>
          <w:sz w:val="24"/>
          <w:szCs w:val="24"/>
          <w:u w:val="single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u w:val="single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4"/>
          <w:szCs w:val="24"/>
          <w:highlight w:val="cyan"/>
          <w:lang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highlight w:val="cyan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highlight w:val="cyan"/>
          <w:lang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highlight w:val="cyan"/>
          <w:lang w:eastAsia="ru-RU"/>
        </w:rPr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3"/>
        <w:gridCol w:w="1357"/>
        <w:gridCol w:w="1824"/>
        <w:gridCol w:w="1402"/>
        <w:gridCol w:w="1544"/>
        <w:gridCol w:w="1121"/>
        <w:gridCol w:w="1723"/>
      </w:tblGrid>
      <w:tr>
        <w:tblPrEx/>
        <w:trPr/>
        <w:tc>
          <w:tcPr>
            <w:shd w:val="clear" w:color="auto" w:fill="auto"/>
            <w:tcW w:w="199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№ п/п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726" w:type="pct"/>
            <w:vAlign w:val="center"/>
            <w:textDirection w:val="lrTb"/>
            <w:noWrap w:val="false"/>
          </w:tcPr>
          <w:p>
            <w:pPr>
              <w:ind w:left="168" w:right="79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Фамилия, имя, отчество сотрудника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976" w:type="pct"/>
            <w:vAlign w:val="center"/>
            <w:textDirection w:val="lrTb"/>
            <w:noWrap w:val="false"/>
          </w:tcPr>
          <w:p>
            <w:pPr>
              <w:ind w:left="168" w:right="10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Идентификацио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ный номер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 в Национальном реестре специали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стов в области строительства (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НОСТРОЙ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750" w:type="pct"/>
            <w:vAlign w:val="center"/>
            <w:textDirection w:val="lrTb"/>
            <w:noWrap w:val="false"/>
          </w:tcPr>
          <w:p>
            <w:pPr>
              <w:ind w:left="168" w:right="10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Должность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tcW w:w="826" w:type="pct"/>
            <w:vAlign w:val="center"/>
            <w:textDirection w:val="lrTb"/>
            <w:noWrap w:val="false"/>
          </w:tcPr>
          <w:p>
            <w:pPr>
              <w:ind w:left="51" w:right="61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Образование, специальность (по диплому)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600" w:type="pct"/>
            <w:vAlign w:val="center"/>
            <w:textDirection w:val="lrTb"/>
            <w:noWrap w:val="false"/>
          </w:tcPr>
          <w:p>
            <w:pPr>
              <w:ind w:left="71" w:right="102"/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Стаж работы по специальности, лет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auto"/>
            <w:tcW w:w="922" w:type="pct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Наличие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сертификатов, аттестатов и удостоверений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, подтверждающих квалификацию сотрудника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shd w:val="clear" w:color="auto" w:fill="ffffff"/>
            <w:tcW w:w="199" w:type="pct"/>
            <w:vAlign w:val="center"/>
            <w:textDirection w:val="lrTb"/>
            <w:noWrap w:val="false"/>
          </w:tcPr>
          <w:p>
            <w:pPr>
              <w:ind w:left="-182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1.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726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976" w:type="pct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highlight w:val="cy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cyan"/>
                <w:lang w:eastAsia="ru-RU"/>
              </w:rPr>
            </w:r>
          </w:p>
        </w:tc>
        <w:tc>
          <w:tcPr>
            <w:shd w:val="clear" w:color="auto" w:fill="ffffff"/>
            <w:tcW w:w="750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826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600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922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W w:w="199" w:type="pct"/>
            <w:vAlign w:val="center"/>
            <w:textDirection w:val="lrTb"/>
            <w:noWrap w:val="false"/>
          </w:tcPr>
          <w:p>
            <w:pPr>
              <w:ind w:left="-182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2.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726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976" w:type="pct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highlight w:val="cy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cyan"/>
                <w:lang w:eastAsia="ru-RU"/>
              </w:rPr>
            </w:r>
          </w:p>
        </w:tc>
        <w:tc>
          <w:tcPr>
            <w:shd w:val="clear" w:color="auto" w:fill="ffffff"/>
            <w:tcW w:w="750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826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600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922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shd w:val="clear" w:color="auto" w:fill="ffffff"/>
            <w:tcW w:w="199" w:type="pct"/>
            <w:vAlign w:val="center"/>
            <w:textDirection w:val="lrTb"/>
            <w:noWrap w:val="false"/>
          </w:tcPr>
          <w:p>
            <w:pPr>
              <w:ind w:left="-182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  <w:t xml:space="preserve">3.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726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976" w:type="pct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highlight w:val="cy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cyan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cyan"/>
                <w:lang w:eastAsia="ru-RU"/>
              </w:rPr>
            </w:r>
          </w:p>
        </w:tc>
        <w:tc>
          <w:tcPr>
            <w:shd w:val="clear" w:color="auto" w:fill="ffffff"/>
            <w:tcW w:w="750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826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600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  <w:tc>
          <w:tcPr>
            <w:shd w:val="clear" w:color="auto" w:fill="ffffff"/>
            <w:tcW w:w="922" w:type="pct"/>
            <w:vAlign w:val="center"/>
            <w:textDirection w:val="lrTb"/>
            <w:noWrap w:val="false"/>
          </w:tcPr>
          <w:p>
            <w:pPr>
              <w:ind w:left="-284" w:right="-37"/>
              <w:jc w:val="center"/>
              <w:spacing w:after="0" w:line="240" w:lineRule="auto"/>
              <w:shd w:val="clear" w:color="auto" w:fill="ffffff"/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ru-RU"/>
              </w:rPr>
            </w:r>
          </w:p>
        </w:tc>
      </w:tr>
    </w:tbl>
    <w:p>
      <w:pPr>
        <w:ind w:right="-37"/>
        <w:spacing w:after="0" w:line="240" w:lineRule="auto"/>
        <w:shd w:val="clear" w:color="auto" w:fill="ffffff"/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highlight w:val="cyan"/>
          <w:lang w:eastAsia="ru-RU"/>
        </w:rPr>
      </w:r>
    </w:p>
    <w:p>
      <w:pPr>
        <w:numPr>
          <w:ilvl w:val="0"/>
          <w:numId w:val="15"/>
        </w:numPr>
        <w:ind w:left="0" w:firstLine="0"/>
        <w:jc w:val="both"/>
        <w:spacing w:after="0" w:line="240" w:lineRule="auto"/>
        <w:widowControl w:val="off"/>
        <w:tabs>
          <w:tab w:val="left" w:pos="284" w:leader="none"/>
        </w:tabs>
        <w:rPr>
          <w:rFonts w:ascii="Times New Roman" w:hAnsi="Times New Roman" w:eastAsia="Calibri" w:cs="Times New Roman"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sz w:val="24"/>
          <w:szCs w:val="24"/>
          <w:highlight w:val="cyan"/>
        </w:rPr>
        <w:br w:type="page" w:clear="all"/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</w:p>
    <w:p>
      <w:pPr>
        <w:jc w:val="right"/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Приложение № 5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center"/>
        <w:spacing w:after="0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ПЕРЕЧЕНЬ КОНТРАКТОВ И (ИЛИ) ДОГОВОРОВ, ПОДТВЕРЖДАЮЩИХ НАЛИЧИЕ У УЧАСТНИКА ПРЕДВАРИТЕЛЬНОГО ОТБОРА ОПЫТА ОКАЗАНИЯ УСЛУГ И (ИЛИ) ВЫПОЛНЕНИЯ РАБОТ, АНАЛОГИЧНЫХ ПРЕДМЕТУ ПРЕДВАРИТЕЛЬНОГО ОТБОРА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both"/>
        <w:spacing w:after="0"/>
        <w:rPr>
          <w:rFonts w:ascii="Times New Roman" w:hAnsi="Times New Roman" w:eastAsia="Calibri" w:cs="Times New Roman"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</w:p>
    <w:tbl>
      <w:tblPr>
        <w:tblStyle w:val="896"/>
        <w:tblW w:w="5000" w:type="pct"/>
        <w:tblLayout w:type="fixed"/>
        <w:tblLook w:val="04A0" w:firstRow="1" w:lastRow="0" w:firstColumn="1" w:lastColumn="0" w:noHBand="0" w:noVBand="1"/>
      </w:tblPr>
      <w:tblGrid>
        <w:gridCol w:w="423"/>
        <w:gridCol w:w="932"/>
        <w:gridCol w:w="1386"/>
        <w:gridCol w:w="1104"/>
        <w:gridCol w:w="1106"/>
        <w:gridCol w:w="1383"/>
        <w:gridCol w:w="1246"/>
        <w:gridCol w:w="1764"/>
      </w:tblGrid>
      <w:tr>
        <w:tblPrEx/>
        <w:trPr>
          <w:trHeight w:val="2622"/>
        </w:trPr>
        <w:tc>
          <w:tcPr>
            <w:tcW w:w="226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№ п/п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498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Наименование, дата заключения и номер контракта и (или) договора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74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Предмет контракта и (или) договора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(объект (объекты), в отношении которого (которых) оказаны услуги и (или) выполнены работы)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591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Установленный срок оказания услуг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(или)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выполнения работ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592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Первоначальная стоимость услуг 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и (или) 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работ, рублей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740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Наименование, дата и номер актов приемки оказанных услуг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и (или)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выполненных работ по контракту и (или) договору или иных документов, подтверждающих приемку услуг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и (или) 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работ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667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Окончательная стоимость услуг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и (или) 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работ (согласно актам приемки оказанных услуг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 и (или) в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ыполненных работ), рублей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  <w:tc>
          <w:tcPr>
            <w:tcW w:w="944" w:type="pct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 xml:space="preserve">Наличие подтверждения приемки заказчиком услуг и (или) работ по контракту и (или) договору, оказанных и (или) выполненных в полном объеме (наличие/отсутствие подписи заказчика о приемке)</w:t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  <w:r>
              <w:rPr>
                <w:rFonts w:ascii="Times New Roman" w:hAnsi="Times New Roman" w:eastAsia="Calibri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22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1.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98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741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591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59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740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66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944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22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2.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98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741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591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59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740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66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944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</w:tr>
      <w:tr>
        <w:tblPrEx/>
        <w:trPr/>
        <w:tc>
          <w:tcPr>
            <w:tcW w:w="226" w:type="pc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</w:rPr>
              <w:t xml:space="preserve">3.</w:t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</w:rPr>
            </w:r>
          </w:p>
        </w:tc>
        <w:tc>
          <w:tcPr>
            <w:tcW w:w="498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741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591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592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740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667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  <w:tc>
          <w:tcPr>
            <w:tcW w:w="944" w:type="pc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cyan"/>
              </w:rPr>
            </w:r>
          </w:p>
        </w:tc>
      </w:tr>
    </w:tbl>
    <w:p>
      <w:pPr>
        <w:jc w:val="both"/>
        <w:spacing w:after="0"/>
        <w:rPr>
          <w:rFonts w:ascii="Times New Roman" w:hAnsi="Times New Roman" w:eastAsia="Calibri" w:cs="Times New Roman"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</w:p>
    <w:p>
      <w:pPr>
        <w:rPr>
          <w:rFonts w:ascii="Times New Roman" w:hAnsi="Times New Roman" w:eastAsia="Calibri" w:cs="Times New Roman"/>
          <w:sz w:val="24"/>
          <w:szCs w:val="24"/>
          <w:highlight w:val="cyan"/>
        </w:rPr>
      </w:pPr>
      <w:r>
        <w:rPr>
          <w:rFonts w:ascii="Times New Roman" w:hAnsi="Times New Roman" w:eastAsia="Calibri" w:cs="Times New Roman"/>
          <w:i/>
          <w:sz w:val="24"/>
          <w:szCs w:val="24"/>
          <w:highlight w:val="cyan"/>
        </w:rPr>
        <w:br w:type="page" w:clear="all"/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  <w:r>
        <w:rPr>
          <w:rFonts w:ascii="Times New Roman" w:hAnsi="Times New Roman" w:eastAsia="Calibri" w:cs="Times New Roman"/>
          <w:sz w:val="24"/>
          <w:szCs w:val="24"/>
          <w:highlight w:val="cyan"/>
        </w:rPr>
      </w:r>
    </w:p>
    <w:p>
      <w:pPr>
        <w:ind w:left="5812"/>
        <w:jc w:val="right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Приложение № 6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5529"/>
        <w:jc w:val="right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ЗАПРОС О РАЗЪЯСНЕНИИ ДОКУМЕНТАЦИИ О ПРОВЕДЕНИИ ПРЕДВАРИТЕЛЬНОГО ОТБОРА</w:t>
      </w:r>
      <w:r>
        <w:rPr>
          <w:rFonts w:ascii="Times New Roman" w:hAnsi="Times New Roman" w:eastAsia="Calibri" w:cs="Times New Roman"/>
          <w:b/>
          <w:sz w:val="24"/>
          <w:szCs w:val="24"/>
        </w:rPr>
      </w:r>
      <w:r>
        <w:rPr>
          <w:rFonts w:ascii="Times New Roman" w:hAnsi="Times New Roman" w:eastAsia="Calibri" w:cs="Times New Roman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Руководствуясь пунктом 34 Положе</w:t>
      </w:r>
      <w:r>
        <w:rPr>
          <w:rFonts w:ascii="Times New Roman" w:hAnsi="Times New Roman" w:eastAsia="Calibri" w:cs="Times New Roman"/>
          <w:sz w:val="24"/>
          <w:szCs w:val="24"/>
        </w:rPr>
        <w:t xml:space="preserve">ния о привлечении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подрядных организаций для оказания услуг и (или) выполнения</w:t>
      </w:r>
      <w:r>
        <w:rPr>
          <w:rFonts w:ascii="Times New Roman" w:hAnsi="Times New Roman" w:eastAsia="Calibri" w:cs="Times New Roman"/>
          <w:sz w:val="24"/>
          <w:szCs w:val="24"/>
        </w:rPr>
        <w:t xml:space="preserve"> работ по капитальному ремонту общего имущества в многоквартирном доме, утвержденное Постановлением Правительства Российской Федерации от 1 июля 2016 года № 615, просим дать разъяснения следующих положений Документации о проведении предварительного отбора </w:t>
      </w:r>
      <w:r>
        <w:rPr>
          <w:rFonts w:ascii="Times New Roman" w:hAnsi="Times New Roman" w:eastAsia="Calibri" w:cs="Times New Roman"/>
          <w:sz w:val="24"/>
          <w:szCs w:val="24"/>
        </w:rPr>
        <w:t xml:space="preserve">№ </w:t>
      </w:r>
      <w:r>
        <w:rPr>
          <w:rFonts w:ascii="Times New Roman" w:hAnsi="Times New Roman" w:eastAsia="Calibri" w:cs="Times New Roman"/>
          <w:sz w:val="24"/>
          <w:szCs w:val="24"/>
        </w:rPr>
        <w:t xml:space="preserve">4-ПО(2</w:t>
      </w:r>
      <w:bookmarkStart w:id="1" w:name="_GoBack"/>
      <w:r/>
      <w:bookmarkEnd w:id="1"/>
      <w:r>
        <w:rPr>
          <w:rFonts w:ascii="Times New Roman" w:hAnsi="Times New Roman" w:eastAsia="Calibri" w:cs="Times New Roman"/>
          <w:sz w:val="24"/>
          <w:szCs w:val="24"/>
        </w:rPr>
        <w:t xml:space="preserve">).ЛО.20</w:t>
      </w:r>
      <w:r>
        <w:rPr>
          <w:rFonts w:ascii="Times New Roman" w:hAnsi="Times New Roman" w:eastAsia="Calibri" w:cs="Times New Roman"/>
          <w:sz w:val="24"/>
          <w:szCs w:val="24"/>
        </w:rPr>
        <w:t xml:space="preserve">26</w:t>
      </w:r>
      <w:r>
        <w:rPr>
          <w:rFonts w:ascii="Times New Roman" w:hAnsi="Times New Roman" w:eastAsia="Calibri" w:cs="Times New Roman"/>
          <w:sz w:val="24"/>
          <w:szCs w:val="24"/>
        </w:rPr>
        <w:t xml:space="preserve">: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1.____________________________________________________</w:t>
      </w:r>
      <w:r>
        <w:rPr>
          <w:rFonts w:ascii="Times New Roman" w:hAnsi="Times New Roman" w:eastAsia="Calibri" w:cs="Times New Roman"/>
          <w:sz w:val="24"/>
          <w:szCs w:val="24"/>
        </w:rPr>
        <w:t xml:space="preserve">_____________________________________________________________________________________________________2._________________________________________________________________________________________________________________________________________________________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spacing w:after="0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Участник предварительного отбора                                                                Ф.И.О.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(</w:t>
      </w:r>
      <w:r>
        <w:rPr>
          <w:rFonts w:ascii="Times New Roman" w:hAnsi="Times New Roman" w:eastAsia="Calibri" w:cs="Times New Roman"/>
          <w:i/>
          <w:sz w:val="24"/>
          <w:szCs w:val="24"/>
        </w:rPr>
        <w:t xml:space="preserve">уполномоченный</w:t>
      </w:r>
      <w:r>
        <w:rPr>
          <w:rFonts w:ascii="Times New Roman" w:hAnsi="Times New Roman" w:eastAsia="Calibri" w:cs="Times New Roman"/>
          <w:i/>
          <w:sz w:val="24"/>
          <w:szCs w:val="24"/>
        </w:rPr>
        <w:t xml:space="preserve"> представитель</w:t>
      </w:r>
      <w:r>
        <w:rPr>
          <w:rFonts w:ascii="Times New Roman" w:hAnsi="Times New Roman" w:eastAsia="Calibri" w:cs="Times New Roman"/>
          <w:sz w:val="24"/>
          <w:szCs w:val="24"/>
        </w:rPr>
        <w:t xml:space="preserve">)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  <w:t xml:space="preserve">          М.П.</w:t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eastAsia="Calibri" w:cs="Times New Roman"/>
          <w:i/>
          <w:sz w:val="24"/>
          <w:szCs w:val="24"/>
        </w:rPr>
      </w:pP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  <w:r>
        <w:rPr>
          <w:rFonts w:ascii="Times New Roman" w:hAnsi="Times New Roman" w:eastAsia="Calibri" w:cs="Times New Roman"/>
          <w:i/>
          <w:sz w:val="24"/>
          <w:szCs w:val="24"/>
        </w:rPr>
      </w:r>
    </w:p>
    <w:p>
      <w:pPr>
        <w:ind w:firstLine="709"/>
        <w:spacing w:after="0" w:line="240" w:lineRule="auto"/>
        <w:tabs>
          <w:tab w:val="left" w:pos="284" w:leader="none"/>
          <w:tab w:val="left" w:pos="993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5812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 w:clear="all"/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left="5812"/>
        <w:jc w:val="right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 xml:space="preserve">Приложение № 7</w:t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jc w:val="center"/>
        <w:spacing w:before="260" w:after="0" w:line="240" w:lineRule="auto"/>
        <w:widowControl w:val="off"/>
        <w:rPr>
          <w:rFonts w:ascii="Times New Roman" w:hAnsi="Times New Roman" w:eastAsia="SimSu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b/>
          <w:sz w:val="24"/>
          <w:szCs w:val="24"/>
          <w:lang w:eastAsia="ru-RU"/>
        </w:rPr>
        <w:t xml:space="preserve">СОГЛАСИЕ</w:t>
      </w:r>
      <w:r>
        <w:rPr>
          <w:rFonts w:ascii="Times New Roman" w:hAnsi="Times New Roman" w:eastAsia="SimSu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b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SimSu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b/>
          <w:sz w:val="24"/>
          <w:szCs w:val="24"/>
          <w:lang w:eastAsia="ru-RU"/>
        </w:rPr>
        <w:t xml:space="preserve">на</w:t>
      </w:r>
      <w:r>
        <w:rPr>
          <w:rFonts w:ascii="Times New Roman" w:hAnsi="Times New Roman" w:eastAsia="SimSun" w:cs="Times New Roman"/>
          <w:b/>
          <w:sz w:val="24"/>
          <w:szCs w:val="24"/>
          <w:lang w:eastAsia="ru-RU"/>
        </w:rPr>
        <w:t xml:space="preserve"> обработку персональных данных</w:t>
      </w:r>
      <w:r>
        <w:rPr>
          <w:rFonts w:ascii="Times New Roman" w:hAnsi="Times New Roman" w:eastAsia="SimSun" w:cs="Times New Roman"/>
          <w:b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b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   Я, _________________________________________________________________________,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(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фамилия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, имя, отчество (при наличии))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в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соответствии с п. 4 ст. 9 Федерального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закона от 27.07.2006  № 152-ФЗ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«О персональных данных», зарегистрирован(а)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по адресу:_____________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____________________________________________________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документ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, удостоверяющий личность: ________________________________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__________________________________________________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__,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(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наименование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 документа, номер, сведения о дате выдачи документа и выдавшем его органе)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highlight w:val="yellow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highlight w:val="yellow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highlight w:val="yellow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highlight w:val="yellow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b/>
          <w:sz w:val="24"/>
          <w:szCs w:val="24"/>
          <w:lang w:eastAsia="ru-RU"/>
        </w:rPr>
        <w:t xml:space="preserve">в</w:t>
      </w:r>
      <w:r>
        <w:rPr>
          <w:rFonts w:ascii="Times New Roman" w:hAnsi="Times New Roman" w:eastAsia="SimSun" w:cs="Times New Roman"/>
          <w:b/>
          <w:sz w:val="24"/>
          <w:szCs w:val="24"/>
          <w:lang w:eastAsia="ru-RU"/>
        </w:rPr>
        <w:t xml:space="preserve"> целях 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передачи документов 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_________________________, 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SimSun" w:cs="Times New Roman"/>
          <w:sz w:val="20"/>
          <w:szCs w:val="24"/>
          <w:lang w:eastAsia="ru-RU"/>
        </w:rPr>
      </w:pP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                            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                             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  (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указать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 наименование организации)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располож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енному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по адресу: 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______________________________________________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___________________________________________________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__________________________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 (указать адрес организации)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содержащих мои персональные данные, в составе заявки на участие в предварительном отборе подрядных организаций для включения в реестр квалифицированных подрядных организаций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SimSun" w:cs="Times New Roman"/>
          <w:b/>
          <w:sz w:val="24"/>
          <w:szCs w:val="24"/>
          <w:lang w:eastAsia="ru-RU"/>
        </w:rPr>
        <w:t xml:space="preserve">даю согласие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Министерству жилищно-коммунального хозяйства, энергетики, цифровизации и связи Забайкальского края, находящемуся по адресу: Забайкальский край, г. Чита, ул. Чкалова, д. 136, на обработ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ку моих персональных данных (фамилия, имя, отчество (при наличии), адрес регистрации, образование, профессия, а также иной информации, относящейся ко мне), то есть на совершение действий, предусмотренных п. 3 ст. 3 Федерального закона от 27 июля 2006 года 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br/>
        <w:t xml:space="preserve">№ 152-ФЗ «О персональных данных».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   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Настоящее согласие действует со дня его подписания до дня отзыва в письменной форме.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   "___"______________ 2026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г.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   Субъект персональных данных: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4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   __________________/_________________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SimSun" w:cs="Times New Roman"/>
          <w:sz w:val="20"/>
          <w:szCs w:val="24"/>
          <w:lang w:eastAsia="ru-RU"/>
        </w:rPr>
      </w:pP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    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      </w:t>
      </w:r>
      <w:r>
        <w:rPr>
          <w:rFonts w:ascii="Times New Roman" w:hAnsi="Times New Roman" w:eastAsia="SimSun" w:cs="Times New Roman"/>
          <w:sz w:val="24"/>
          <w:szCs w:val="24"/>
          <w:lang w:eastAsia="ru-RU"/>
        </w:rPr>
        <w:t xml:space="preserve">    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(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подпись)   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         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              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  <w:t xml:space="preserve">  (Ф.И.О.)</w:t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</w:r>
      <w:r>
        <w:rPr>
          <w:rFonts w:ascii="Times New Roman" w:hAnsi="Times New Roman" w:eastAsia="SimSun" w:cs="Times New Roman"/>
          <w:sz w:val="20"/>
          <w:szCs w:val="24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spacing w:after="0" w:line="240" w:lineRule="auto"/>
        <w:tabs>
          <w:tab w:val="left" w:pos="284" w:leader="none"/>
          <w:tab w:val="left" w:pos="993" w:leader="none"/>
        </w:tabs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  <w:r>
        <w:rPr>
          <w:rFonts w:ascii="Times New Roman" w:hAnsi="Times New Roman" w:eastAsia="Calibri" w:cs="Times New Roman"/>
          <w:sz w:val="24"/>
          <w:szCs w:val="24"/>
        </w:rPr>
      </w:r>
    </w:p>
    <w:p>
      <w:pPr>
        <w:ind w:left="5812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567" w:bottom="1134" w:left="1985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00506000000020000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39455555"/>
      <w:docPartObj>
        <w:docPartGallery w:val="Page Numbers (Top of Page)"/>
        <w:docPartUnique w:val="true"/>
      </w:docPartObj>
      <w:rPr/>
    </w:sdtPr>
    <w:sdtContent>
      <w:p>
        <w:pPr>
          <w:pStyle w:val="903"/>
          <w:jc w:val="center"/>
          <w:spacing w:after="120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</w:rPr>
          <w:t xml:space="preserve">3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</w:r>
        <w:r>
          <w:rPr>
            <w:rFonts w:ascii="Times New Roman" w:hAnsi="Times New Roman" w:cs="Times New Roman"/>
            <w:sz w:val="28"/>
            <w:szCs w:val="28"/>
          </w:rPr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upperRoman"/>
      <w:isLgl w:val="false"/>
      <w:suff w:val="tab"/>
      <w:lvlText w:val="%1."/>
      <w:lvlJc w:val="left"/>
      <w:pPr>
        <w:ind w:left="1572" w:hanging="72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0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4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6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0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2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69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192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3624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4056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560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064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568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072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576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152" w:hanging="144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5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57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29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01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73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45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17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89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611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num w:numId="1">
    <w:abstractNumId w:val="11"/>
  </w:num>
  <w:num w:numId="2">
    <w:abstractNumId w:val="19"/>
  </w:num>
  <w:num w:numId="3">
    <w:abstractNumId w:val="8"/>
  </w:num>
  <w:num w:numId="4">
    <w:abstractNumId w:val="16"/>
  </w:num>
  <w:num w:numId="5">
    <w:abstractNumId w:val="7"/>
  </w:num>
  <w:num w:numId="6">
    <w:abstractNumId w:val="4"/>
  </w:num>
  <w:num w:numId="7">
    <w:abstractNumId w:val="12"/>
  </w:num>
  <w:num w:numId="8">
    <w:abstractNumId w:val="20"/>
  </w:num>
  <w:num w:numId="9">
    <w:abstractNumId w:val="10"/>
  </w:num>
  <w:num w:numId="10">
    <w:abstractNumId w:val="14"/>
  </w:num>
  <w:num w:numId="11">
    <w:abstractNumId w:val="15"/>
  </w:num>
  <w:num w:numId="12">
    <w:abstractNumId w:val="9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8"/>
  </w:num>
  <w:num w:numId="16">
    <w:abstractNumId w:val="3"/>
  </w:num>
  <w:num w:numId="17">
    <w:abstractNumId w:val="2"/>
  </w:num>
  <w:num w:numId="18">
    <w:abstractNumId w:val="0"/>
  </w:num>
  <w:num w:numId="19">
    <w:abstractNumId w:val="1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9">
    <w:name w:val="Heading 1"/>
    <w:basedOn w:val="892"/>
    <w:next w:val="892"/>
    <w:link w:val="72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20">
    <w:name w:val="Heading 1 Char"/>
    <w:basedOn w:val="893"/>
    <w:link w:val="719"/>
    <w:uiPriority w:val="9"/>
    <w:rPr>
      <w:rFonts w:ascii="Arial" w:hAnsi="Arial" w:eastAsia="Arial" w:cs="Arial"/>
      <w:sz w:val="40"/>
      <w:szCs w:val="40"/>
    </w:rPr>
  </w:style>
  <w:style w:type="paragraph" w:styleId="721">
    <w:name w:val="Heading 2"/>
    <w:basedOn w:val="892"/>
    <w:next w:val="892"/>
    <w:link w:val="72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22">
    <w:name w:val="Heading 2 Char"/>
    <w:basedOn w:val="893"/>
    <w:link w:val="721"/>
    <w:uiPriority w:val="9"/>
    <w:rPr>
      <w:rFonts w:ascii="Arial" w:hAnsi="Arial" w:eastAsia="Arial" w:cs="Arial"/>
      <w:sz w:val="34"/>
    </w:rPr>
  </w:style>
  <w:style w:type="paragraph" w:styleId="723">
    <w:name w:val="Heading 3"/>
    <w:basedOn w:val="892"/>
    <w:next w:val="892"/>
    <w:link w:val="72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4">
    <w:name w:val="Heading 3 Char"/>
    <w:basedOn w:val="893"/>
    <w:link w:val="723"/>
    <w:uiPriority w:val="9"/>
    <w:rPr>
      <w:rFonts w:ascii="Arial" w:hAnsi="Arial" w:eastAsia="Arial" w:cs="Arial"/>
      <w:sz w:val="30"/>
      <w:szCs w:val="30"/>
    </w:rPr>
  </w:style>
  <w:style w:type="paragraph" w:styleId="725">
    <w:name w:val="Heading 4"/>
    <w:basedOn w:val="892"/>
    <w:next w:val="892"/>
    <w:link w:val="72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6">
    <w:name w:val="Heading 4 Char"/>
    <w:basedOn w:val="893"/>
    <w:link w:val="725"/>
    <w:uiPriority w:val="9"/>
    <w:rPr>
      <w:rFonts w:ascii="Arial" w:hAnsi="Arial" w:eastAsia="Arial" w:cs="Arial"/>
      <w:b/>
      <w:bCs/>
      <w:sz w:val="26"/>
      <w:szCs w:val="26"/>
    </w:rPr>
  </w:style>
  <w:style w:type="paragraph" w:styleId="727">
    <w:name w:val="Heading 5"/>
    <w:basedOn w:val="892"/>
    <w:next w:val="892"/>
    <w:link w:val="72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8">
    <w:name w:val="Heading 5 Char"/>
    <w:basedOn w:val="893"/>
    <w:link w:val="727"/>
    <w:uiPriority w:val="9"/>
    <w:rPr>
      <w:rFonts w:ascii="Arial" w:hAnsi="Arial" w:eastAsia="Arial" w:cs="Arial"/>
      <w:b/>
      <w:bCs/>
      <w:sz w:val="24"/>
      <w:szCs w:val="24"/>
    </w:rPr>
  </w:style>
  <w:style w:type="paragraph" w:styleId="729">
    <w:name w:val="Heading 6"/>
    <w:basedOn w:val="892"/>
    <w:next w:val="892"/>
    <w:link w:val="73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30">
    <w:name w:val="Heading 6 Char"/>
    <w:basedOn w:val="893"/>
    <w:link w:val="729"/>
    <w:uiPriority w:val="9"/>
    <w:rPr>
      <w:rFonts w:ascii="Arial" w:hAnsi="Arial" w:eastAsia="Arial" w:cs="Arial"/>
      <w:b/>
      <w:bCs/>
      <w:sz w:val="22"/>
      <w:szCs w:val="22"/>
    </w:rPr>
  </w:style>
  <w:style w:type="paragraph" w:styleId="731">
    <w:name w:val="Heading 7"/>
    <w:basedOn w:val="892"/>
    <w:next w:val="892"/>
    <w:link w:val="73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2">
    <w:name w:val="Heading 7 Char"/>
    <w:basedOn w:val="893"/>
    <w:link w:val="73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33">
    <w:name w:val="Heading 8"/>
    <w:basedOn w:val="892"/>
    <w:next w:val="892"/>
    <w:link w:val="73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4">
    <w:name w:val="Heading 8 Char"/>
    <w:basedOn w:val="893"/>
    <w:link w:val="733"/>
    <w:uiPriority w:val="9"/>
    <w:rPr>
      <w:rFonts w:ascii="Arial" w:hAnsi="Arial" w:eastAsia="Arial" w:cs="Arial"/>
      <w:i/>
      <w:iCs/>
      <w:sz w:val="22"/>
      <w:szCs w:val="22"/>
    </w:rPr>
  </w:style>
  <w:style w:type="paragraph" w:styleId="735">
    <w:name w:val="Heading 9"/>
    <w:basedOn w:val="892"/>
    <w:next w:val="892"/>
    <w:link w:val="73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6">
    <w:name w:val="Heading 9 Char"/>
    <w:basedOn w:val="893"/>
    <w:link w:val="735"/>
    <w:uiPriority w:val="9"/>
    <w:rPr>
      <w:rFonts w:ascii="Arial" w:hAnsi="Arial" w:eastAsia="Arial" w:cs="Arial"/>
      <w:i/>
      <w:iCs/>
      <w:sz w:val="21"/>
      <w:szCs w:val="21"/>
    </w:rPr>
  </w:style>
  <w:style w:type="paragraph" w:styleId="737">
    <w:name w:val="No Spacing"/>
    <w:uiPriority w:val="1"/>
    <w:qFormat/>
    <w:pPr>
      <w:spacing w:before="0" w:after="0" w:line="240" w:lineRule="auto"/>
    </w:pPr>
  </w:style>
  <w:style w:type="paragraph" w:styleId="738">
    <w:name w:val="Title"/>
    <w:basedOn w:val="892"/>
    <w:next w:val="892"/>
    <w:link w:val="73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9">
    <w:name w:val="Title Char"/>
    <w:basedOn w:val="893"/>
    <w:link w:val="738"/>
    <w:uiPriority w:val="10"/>
    <w:rPr>
      <w:sz w:val="48"/>
      <w:szCs w:val="48"/>
    </w:rPr>
  </w:style>
  <w:style w:type="paragraph" w:styleId="740">
    <w:name w:val="Subtitle"/>
    <w:basedOn w:val="892"/>
    <w:next w:val="892"/>
    <w:link w:val="741"/>
    <w:uiPriority w:val="11"/>
    <w:qFormat/>
    <w:pPr>
      <w:spacing w:before="200" w:after="200"/>
    </w:pPr>
    <w:rPr>
      <w:sz w:val="24"/>
      <w:szCs w:val="24"/>
    </w:rPr>
  </w:style>
  <w:style w:type="character" w:styleId="741">
    <w:name w:val="Subtitle Char"/>
    <w:basedOn w:val="893"/>
    <w:link w:val="740"/>
    <w:uiPriority w:val="11"/>
    <w:rPr>
      <w:sz w:val="24"/>
      <w:szCs w:val="24"/>
    </w:rPr>
  </w:style>
  <w:style w:type="paragraph" w:styleId="742">
    <w:name w:val="Quote"/>
    <w:basedOn w:val="892"/>
    <w:next w:val="892"/>
    <w:link w:val="743"/>
    <w:uiPriority w:val="29"/>
    <w:qFormat/>
    <w:pPr>
      <w:ind w:left="720" w:right="720"/>
    </w:pPr>
    <w:rPr>
      <w:i/>
    </w:rPr>
  </w:style>
  <w:style w:type="character" w:styleId="743">
    <w:name w:val="Quote Char"/>
    <w:link w:val="742"/>
    <w:uiPriority w:val="29"/>
    <w:rPr>
      <w:i/>
    </w:rPr>
  </w:style>
  <w:style w:type="paragraph" w:styleId="744">
    <w:name w:val="Intense Quote"/>
    <w:basedOn w:val="892"/>
    <w:next w:val="892"/>
    <w:link w:val="74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5">
    <w:name w:val="Intense Quote Char"/>
    <w:link w:val="744"/>
    <w:uiPriority w:val="30"/>
    <w:rPr>
      <w:i/>
    </w:rPr>
  </w:style>
  <w:style w:type="character" w:styleId="746">
    <w:name w:val="Header Char"/>
    <w:basedOn w:val="893"/>
    <w:link w:val="903"/>
    <w:uiPriority w:val="99"/>
  </w:style>
  <w:style w:type="character" w:styleId="747">
    <w:name w:val="Footer Char"/>
    <w:basedOn w:val="893"/>
    <w:link w:val="905"/>
    <w:uiPriority w:val="99"/>
  </w:style>
  <w:style w:type="paragraph" w:styleId="748">
    <w:name w:val="Caption"/>
    <w:basedOn w:val="892"/>
    <w:next w:val="892"/>
    <w:link w:val="74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9">
    <w:name w:val="Caption Char"/>
    <w:basedOn w:val="748"/>
    <w:link w:val="905"/>
    <w:uiPriority w:val="99"/>
  </w:style>
  <w:style w:type="table" w:styleId="750">
    <w:name w:val="Table Grid Light"/>
    <w:basedOn w:val="89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1">
    <w:name w:val="Plain Table 1"/>
    <w:basedOn w:val="89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2">
    <w:name w:val="Plain Table 2"/>
    <w:basedOn w:val="89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3">
    <w:name w:val="Plain Table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4">
    <w:name w:val="Plain Table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Plain Table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6">
    <w:name w:val="Grid Table 1 Light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1 Light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Grid Table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2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2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2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3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3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3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4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8">
    <w:name w:val="Grid Table 4 - Accent 1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9">
    <w:name w:val="Grid Table 4 - Accent 2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0">
    <w:name w:val="Grid Table 4 - Accent 3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1">
    <w:name w:val="Grid Table 4 - Accent 4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82">
    <w:name w:val="Grid Table 4 - Accent 5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3">
    <w:name w:val="Grid Table 4 - Accent 6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4">
    <w:name w:val="Grid Table 5 Dark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5">
    <w:name w:val="Grid Table 5 Dark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86">
    <w:name w:val="Grid Table 5 Dark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87">
    <w:name w:val="Grid Table 5 Dark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88">
    <w:name w:val="Grid Table 5 Dark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89">
    <w:name w:val="Grid Table 5 Dark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90">
    <w:name w:val="Grid Table 5 Dark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91">
    <w:name w:val="Grid Table 6 Colorful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92">
    <w:name w:val="Grid Table 6 Colorful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3">
    <w:name w:val="Grid Table 6 Colorful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4">
    <w:name w:val="Grid Table 6 Colorful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5">
    <w:name w:val="Grid Table 6 Colorful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6">
    <w:name w:val="Grid Table 6 Colorful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7">
    <w:name w:val="Grid Table 6 Colorful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8">
    <w:name w:val="Grid Table 7 Colorful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7 Colorful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7 Colorful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7 Colorful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1 Light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List Table 1 Light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List Table 1 Light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List Table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3">
    <w:name w:val="List Table 2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4">
    <w:name w:val="List Table 2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5">
    <w:name w:val="List Table 2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6">
    <w:name w:val="List Table 2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7">
    <w:name w:val="List Table 2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8">
    <w:name w:val="List Table 2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9">
    <w:name w:val="List Table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3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4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List Table 5 Dark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5 Dark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8">
    <w:name w:val="List Table 5 Dark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9">
    <w:name w:val="List Table 5 Dark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40">
    <w:name w:val="List Table 6 Colorful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41">
    <w:name w:val="List Table 6 Colorful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42">
    <w:name w:val="List Table 6 Colorful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3">
    <w:name w:val="List Table 6 Colorful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4">
    <w:name w:val="List Table 6 Colorful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5">
    <w:name w:val="List Table 6 Colorful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6">
    <w:name w:val="List Table 6 Colorful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7">
    <w:name w:val="List Table 7 Colorful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8">
    <w:name w:val="List Table 7 Colorful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49">
    <w:name w:val="List Table 7 Colorful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50">
    <w:name w:val="List Table 7 Colorful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51">
    <w:name w:val="List Table 7 Colorful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52">
    <w:name w:val="List Table 7 Colorful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53">
    <w:name w:val="List Table 7 Colorful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54">
    <w:name w:val="Lined - Accent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5">
    <w:name w:val="Lined - Accent 1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6">
    <w:name w:val="Lined - Accent 2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7">
    <w:name w:val="Lined - Accent 3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8">
    <w:name w:val="Lined - Accent 4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9">
    <w:name w:val="Lined - Accent 5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0">
    <w:name w:val="Lined - Accent 6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1">
    <w:name w:val="Bordered &amp; Lined - Accent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62">
    <w:name w:val="Bordered &amp; Lined - Accent 1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3">
    <w:name w:val="Bordered &amp; Lined - Accent 2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4">
    <w:name w:val="Bordered &amp; Lined - Accent 3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5">
    <w:name w:val="Bordered &amp; Lined - Accent 4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6">
    <w:name w:val="Bordered &amp; Lined - Accent 5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7">
    <w:name w:val="Bordered &amp; Lined - Accent 6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8">
    <w:name w:val="Bordered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9">
    <w:name w:val="Bordered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70">
    <w:name w:val="Bordered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71">
    <w:name w:val="Bordered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72">
    <w:name w:val="Bordered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3">
    <w:name w:val="Bordered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4">
    <w:name w:val="Bordered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75">
    <w:name w:val="footnote text"/>
    <w:basedOn w:val="892"/>
    <w:link w:val="876"/>
    <w:uiPriority w:val="99"/>
    <w:semiHidden/>
    <w:unhideWhenUsed/>
    <w:pPr>
      <w:spacing w:after="40" w:line="240" w:lineRule="auto"/>
    </w:pPr>
    <w:rPr>
      <w:sz w:val="18"/>
    </w:rPr>
  </w:style>
  <w:style w:type="character" w:styleId="876">
    <w:name w:val="Footnote Text Char"/>
    <w:link w:val="875"/>
    <w:uiPriority w:val="99"/>
    <w:rPr>
      <w:sz w:val="18"/>
    </w:rPr>
  </w:style>
  <w:style w:type="character" w:styleId="877">
    <w:name w:val="footnote reference"/>
    <w:basedOn w:val="893"/>
    <w:uiPriority w:val="99"/>
    <w:unhideWhenUsed/>
    <w:rPr>
      <w:vertAlign w:val="superscript"/>
    </w:rPr>
  </w:style>
  <w:style w:type="paragraph" w:styleId="878">
    <w:name w:val="endnote text"/>
    <w:basedOn w:val="892"/>
    <w:link w:val="879"/>
    <w:uiPriority w:val="99"/>
    <w:semiHidden/>
    <w:unhideWhenUsed/>
    <w:pPr>
      <w:spacing w:after="0" w:line="240" w:lineRule="auto"/>
    </w:pPr>
    <w:rPr>
      <w:sz w:val="20"/>
    </w:rPr>
  </w:style>
  <w:style w:type="character" w:styleId="879">
    <w:name w:val="Endnote Text Char"/>
    <w:link w:val="878"/>
    <w:uiPriority w:val="99"/>
    <w:rPr>
      <w:sz w:val="20"/>
    </w:rPr>
  </w:style>
  <w:style w:type="character" w:styleId="880">
    <w:name w:val="endnote reference"/>
    <w:basedOn w:val="893"/>
    <w:uiPriority w:val="99"/>
    <w:semiHidden/>
    <w:unhideWhenUsed/>
    <w:rPr>
      <w:vertAlign w:val="superscript"/>
    </w:rPr>
  </w:style>
  <w:style w:type="paragraph" w:styleId="881">
    <w:name w:val="toc 1"/>
    <w:basedOn w:val="892"/>
    <w:next w:val="892"/>
    <w:uiPriority w:val="39"/>
    <w:unhideWhenUsed/>
    <w:pPr>
      <w:ind w:left="0" w:right="0" w:firstLine="0"/>
      <w:spacing w:after="57"/>
    </w:pPr>
  </w:style>
  <w:style w:type="paragraph" w:styleId="882">
    <w:name w:val="toc 2"/>
    <w:basedOn w:val="892"/>
    <w:next w:val="892"/>
    <w:uiPriority w:val="39"/>
    <w:unhideWhenUsed/>
    <w:pPr>
      <w:ind w:left="283" w:right="0" w:firstLine="0"/>
      <w:spacing w:after="57"/>
    </w:pPr>
  </w:style>
  <w:style w:type="paragraph" w:styleId="883">
    <w:name w:val="toc 3"/>
    <w:basedOn w:val="892"/>
    <w:next w:val="892"/>
    <w:uiPriority w:val="39"/>
    <w:unhideWhenUsed/>
    <w:pPr>
      <w:ind w:left="567" w:right="0" w:firstLine="0"/>
      <w:spacing w:after="57"/>
    </w:pPr>
  </w:style>
  <w:style w:type="paragraph" w:styleId="884">
    <w:name w:val="toc 4"/>
    <w:basedOn w:val="892"/>
    <w:next w:val="892"/>
    <w:uiPriority w:val="39"/>
    <w:unhideWhenUsed/>
    <w:pPr>
      <w:ind w:left="850" w:right="0" w:firstLine="0"/>
      <w:spacing w:after="57"/>
    </w:pPr>
  </w:style>
  <w:style w:type="paragraph" w:styleId="885">
    <w:name w:val="toc 5"/>
    <w:basedOn w:val="892"/>
    <w:next w:val="892"/>
    <w:uiPriority w:val="39"/>
    <w:unhideWhenUsed/>
    <w:pPr>
      <w:ind w:left="1134" w:right="0" w:firstLine="0"/>
      <w:spacing w:after="57"/>
    </w:pPr>
  </w:style>
  <w:style w:type="paragraph" w:styleId="886">
    <w:name w:val="toc 6"/>
    <w:basedOn w:val="892"/>
    <w:next w:val="892"/>
    <w:uiPriority w:val="39"/>
    <w:unhideWhenUsed/>
    <w:pPr>
      <w:ind w:left="1417" w:right="0" w:firstLine="0"/>
      <w:spacing w:after="57"/>
    </w:pPr>
  </w:style>
  <w:style w:type="paragraph" w:styleId="887">
    <w:name w:val="toc 7"/>
    <w:basedOn w:val="892"/>
    <w:next w:val="892"/>
    <w:uiPriority w:val="39"/>
    <w:unhideWhenUsed/>
    <w:pPr>
      <w:ind w:left="1701" w:right="0" w:firstLine="0"/>
      <w:spacing w:after="57"/>
    </w:pPr>
  </w:style>
  <w:style w:type="paragraph" w:styleId="888">
    <w:name w:val="toc 8"/>
    <w:basedOn w:val="892"/>
    <w:next w:val="892"/>
    <w:uiPriority w:val="39"/>
    <w:unhideWhenUsed/>
    <w:pPr>
      <w:ind w:left="1984" w:right="0" w:firstLine="0"/>
      <w:spacing w:after="57"/>
    </w:pPr>
  </w:style>
  <w:style w:type="paragraph" w:styleId="889">
    <w:name w:val="toc 9"/>
    <w:basedOn w:val="892"/>
    <w:next w:val="892"/>
    <w:uiPriority w:val="39"/>
    <w:unhideWhenUsed/>
    <w:pPr>
      <w:ind w:left="2268" w:right="0" w:firstLine="0"/>
      <w:spacing w:after="57"/>
    </w:pPr>
  </w:style>
  <w:style w:type="paragraph" w:styleId="890">
    <w:name w:val="TOC Heading"/>
    <w:uiPriority w:val="39"/>
    <w:unhideWhenUsed/>
  </w:style>
  <w:style w:type="paragraph" w:styleId="891">
    <w:name w:val="table of figures"/>
    <w:basedOn w:val="892"/>
    <w:next w:val="892"/>
    <w:uiPriority w:val="99"/>
    <w:unhideWhenUsed/>
    <w:pPr>
      <w:spacing w:after="0" w:afterAutospacing="0"/>
    </w:pPr>
  </w:style>
  <w:style w:type="paragraph" w:styleId="892" w:default="1">
    <w:name w:val="Normal"/>
    <w:qFormat/>
  </w:style>
  <w:style w:type="character" w:styleId="893" w:default="1">
    <w:name w:val="Default Paragraph Font"/>
    <w:uiPriority w:val="1"/>
    <w:semiHidden/>
    <w:unhideWhenUsed/>
  </w:style>
  <w:style w:type="table" w:styleId="89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5" w:default="1">
    <w:name w:val="No List"/>
    <w:uiPriority w:val="99"/>
    <w:semiHidden/>
    <w:unhideWhenUsed/>
  </w:style>
  <w:style w:type="table" w:styleId="896">
    <w:name w:val="Table Grid"/>
    <w:basedOn w:val="894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7" w:customStyle="1">
    <w:name w:val="Сетка таблицы6"/>
    <w:basedOn w:val="894"/>
    <w:next w:val="896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98" w:customStyle="1">
    <w:name w:val="Сетка таблицы1"/>
    <w:basedOn w:val="894"/>
    <w:next w:val="89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899">
    <w:name w:val="Hyperlink"/>
    <w:basedOn w:val="893"/>
    <w:uiPriority w:val="99"/>
    <w:unhideWhenUsed/>
    <w:rPr>
      <w:color w:val="0563c1" w:themeColor="hyperlink"/>
      <w:u w:val="single"/>
    </w:rPr>
  </w:style>
  <w:style w:type="paragraph" w:styleId="900" w:customStyle="1">
    <w:name w:val="ConsPlusNormal"/>
    <w:link w:val="913"/>
    <w:qFormat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901">
    <w:name w:val="List Paragraph"/>
    <w:basedOn w:val="892"/>
    <w:uiPriority w:val="34"/>
    <w:qFormat/>
    <w:pPr>
      <w:contextualSpacing/>
      <w:ind w:left="720"/>
    </w:pPr>
  </w:style>
  <w:style w:type="character" w:styleId="902">
    <w:name w:val="FollowedHyperlink"/>
    <w:basedOn w:val="893"/>
    <w:uiPriority w:val="99"/>
    <w:semiHidden/>
    <w:unhideWhenUsed/>
    <w:rPr>
      <w:color w:val="800080"/>
      <w:u w:val="single"/>
    </w:rPr>
  </w:style>
  <w:style w:type="paragraph" w:styleId="903">
    <w:name w:val="Header"/>
    <w:basedOn w:val="892"/>
    <w:link w:val="90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04" w:customStyle="1">
    <w:name w:val="Верхний колонтитул Знак"/>
    <w:basedOn w:val="893"/>
    <w:link w:val="903"/>
    <w:uiPriority w:val="99"/>
  </w:style>
  <w:style w:type="paragraph" w:styleId="905">
    <w:name w:val="Footer"/>
    <w:basedOn w:val="892"/>
    <w:link w:val="906"/>
    <w:uiPriority w:val="99"/>
    <w:semiHidden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06" w:customStyle="1">
    <w:name w:val="Нижний колонтитул Знак"/>
    <w:basedOn w:val="893"/>
    <w:link w:val="905"/>
    <w:uiPriority w:val="99"/>
    <w:semiHidden/>
  </w:style>
  <w:style w:type="character" w:styleId="907" w:customStyle="1">
    <w:name w:val="Основной текст_"/>
    <w:basedOn w:val="893"/>
    <w:link w:val="908"/>
    <w:rPr>
      <w:rFonts w:ascii="Times New Roman" w:hAnsi="Times New Roman" w:eastAsia="Times New Roman" w:cs="Times New Roman"/>
      <w:shd w:val="clear" w:color="auto" w:fill="ffffff"/>
    </w:rPr>
  </w:style>
  <w:style w:type="paragraph" w:styleId="908" w:customStyle="1">
    <w:name w:val="Основной текст13"/>
    <w:basedOn w:val="892"/>
    <w:link w:val="907"/>
    <w:pPr>
      <w:ind w:hanging="620"/>
      <w:spacing w:before="780" w:after="60" w:line="0" w:lineRule="atLeast"/>
      <w:shd w:val="clear" w:color="auto" w:fill="ffffff"/>
    </w:pPr>
    <w:rPr>
      <w:rFonts w:ascii="Times New Roman" w:hAnsi="Times New Roman" w:eastAsia="Times New Roman" w:cs="Times New Roman"/>
    </w:rPr>
  </w:style>
  <w:style w:type="paragraph" w:styleId="909" w:customStyle="1">
    <w:name w:val="xl65"/>
    <w:basedOn w:val="892"/>
    <w:pPr>
      <w:spacing w:before="100" w:beforeAutospacing="1" w:after="100" w:afterAutospacing="1" w:line="240" w:lineRule="auto"/>
      <w:pBdr>
        <w:top w:val="single" w:color="D0D7E5" w:sz="4" w:space="0"/>
        <w:left w:val="single" w:color="D0D7E5" w:sz="4" w:space="0"/>
        <w:bottom w:val="single" w:color="D0D7E5" w:sz="4" w:space="0"/>
        <w:right w:val="single" w:color="D0D7E5" w:sz="4" w:space="0"/>
      </w:pBdr>
    </w:pPr>
    <w:rPr>
      <w:rFonts w:ascii="Calibri" w:hAnsi="Calibri" w:eastAsia="Times New Roman" w:cs="Times New Roman"/>
      <w:color w:val="000000"/>
      <w:lang w:eastAsia="ru-RU"/>
    </w:rPr>
  </w:style>
  <w:style w:type="character" w:styleId="910" w:customStyle="1">
    <w:name w:val="Основной текст (2)_"/>
    <w:basedOn w:val="893"/>
    <w:link w:val="911"/>
    <w:rPr>
      <w:rFonts w:ascii="Times New Roman" w:hAnsi="Times New Roman" w:eastAsia="Times New Roman" w:cs="Times New Roman"/>
      <w:shd w:val="clear" w:color="auto" w:fill="ffffff"/>
    </w:rPr>
  </w:style>
  <w:style w:type="paragraph" w:styleId="911" w:customStyle="1">
    <w:name w:val="Основной текст (2)"/>
    <w:basedOn w:val="892"/>
    <w:link w:val="910"/>
    <w:pPr>
      <w:spacing w:after="1140" w:line="0" w:lineRule="atLeast"/>
      <w:shd w:val="clear" w:color="auto" w:fill="ffffff"/>
    </w:pPr>
    <w:rPr>
      <w:rFonts w:ascii="Times New Roman" w:hAnsi="Times New Roman" w:eastAsia="Times New Roman" w:cs="Times New Roman"/>
    </w:rPr>
  </w:style>
  <w:style w:type="paragraph" w:styleId="912" w:customStyle="1">
    <w:name w:val="Default"/>
    <w:pPr>
      <w:spacing w:after="0" w:line="240" w:lineRule="auto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character" w:styleId="913" w:customStyle="1">
    <w:name w:val="ConsPlusNormal Знак"/>
    <w:link w:val="900"/>
    <w:rPr>
      <w:rFonts w:ascii="Calibri" w:hAnsi="Calibri" w:eastAsia="Times New Roman" w:cs="Calibri"/>
      <w:szCs w:val="20"/>
      <w:lang w:eastAsia="ru-RU"/>
    </w:rPr>
  </w:style>
  <w:style w:type="paragraph" w:styleId="914">
    <w:name w:val="Balloon Text"/>
    <w:basedOn w:val="892"/>
    <w:link w:val="91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15" w:customStyle="1">
    <w:name w:val="Текст выноски Знак"/>
    <w:basedOn w:val="893"/>
    <w:link w:val="914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mailto:pochta@minenergo.e-zab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291C32-31F0-452C-9C18-6C489FC9A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pc004</dc:creator>
  <cp:lastModifiedBy>keo</cp:lastModifiedBy>
  <cp:revision>62</cp:revision>
  <dcterms:created xsi:type="dcterms:W3CDTF">2022-06-10T02:29:00Z</dcterms:created>
  <dcterms:modified xsi:type="dcterms:W3CDTF">2026-05-04T06:01:15Z</dcterms:modified>
</cp:coreProperties>
</file>