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</w:t>
      </w:r>
      <w:r>
        <w:rPr>
          <w:rFonts w:ascii="Times New Roman" w:hAnsi="Times New Roman" w:cs="Times New Roman"/>
          <w:sz w:val="22"/>
          <w:szCs w:val="22"/>
        </w:rPr>
        <w:t xml:space="preserve">ИЯ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вакантных должностях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Министерстве жилищно-коммунального хозяйства, энергетики, цифровизации и связи Забайкальского края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органа государственной власти Забайкальского края, государственного органа Забайкальского края)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по состоянию на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 28 мая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2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0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26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 года</w:t>
      </w:r>
      <w:r>
        <w:rPr>
          <w:rFonts w:ascii="Times New Roman" w:hAnsi="Times New Roman" w:cs="Times New Roman"/>
          <w:i/>
          <w:sz w:val="22"/>
          <w:szCs w:val="22"/>
        </w:rPr>
      </w:r>
      <w:r>
        <w:rPr>
          <w:rFonts w:ascii="Times New Roman" w:hAnsi="Times New Roman" w:cs="Times New Roman"/>
          <w:i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tbl>
      <w:tblPr>
        <w:tblStyle w:val="867"/>
        <w:tblW w:w="5000" w:type="pct"/>
        <w:tblLayout w:type="fixed"/>
        <w:tblLook w:val="04A0" w:firstRow="1" w:lastRow="0" w:firstColumn="1" w:lastColumn="0" w:noHBand="0" w:noVBand="1"/>
      </w:tblPr>
      <w:tblGrid>
        <w:gridCol w:w="1797"/>
        <w:gridCol w:w="1"/>
        <w:gridCol w:w="77"/>
        <w:gridCol w:w="2948"/>
        <w:gridCol w:w="67"/>
        <w:gridCol w:w="1370"/>
        <w:gridCol w:w="31"/>
        <w:gridCol w:w="2438"/>
        <w:gridCol w:w="216"/>
        <w:gridCol w:w="1332"/>
        <w:gridCol w:w="216"/>
        <w:gridCol w:w="1264"/>
        <w:gridCol w:w="1461"/>
        <w:gridCol w:w="12"/>
        <w:gridCol w:w="913"/>
        <w:gridCol w:w="1472"/>
      </w:tblGrid>
      <w:tr>
        <w:tblPrEx/>
        <w:trPr/>
        <w:tc>
          <w:tcPr>
            <w:tcW w:w="17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должности,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прохождения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гражданской службы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(работы)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(указывается населенный пункт)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tcW w:w="4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Квалификационные требования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для замещения должности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Краткое описание должностных обязанностей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28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Оплата труда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учетом оклада месячного денежного содержания, надбавок, ежемесячного денежного поощрения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Тип служебного контракта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(трудового договора)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ФИО ответственного работника кадровой службы,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номера рабочего и мобильного телефонов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Адрес приема документов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79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3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уровню профессионального образования, специальности, направлению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стажу гражданской службы или работы по специальности, направлению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минимальный размер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максимальный размер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 xml:space="preserve">Первый заместитель министра жилищно-коммунального энергетики, цифровизации и связи Забайкальского края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hyperlink r:id="rId9" w:tooltip="https://gossluzhba.gov.ru/vacancy/9e5daf3a-3f3a-4138-a544-f9e9f6e818ab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  <w:lang w:val="ru-RU"/>
                </w:rPr>
                <w:t xml:space="preserve">https://gossluzhba.gov.ru/vacancy/9e5daf3a-3f3a-4138-a544-f9e9f6e818ab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образование не ниже уровня специалитета, магистратуры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специальностям, направлени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ям подготовки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«Юриспруденция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», «Экономика», «Менеджмент», «Государственное и муниципальное управление», «Архитектура и строительство», «Градостроительство», «Теплоэнергетика и теплотехника», «Электроэнергетика и электротехника», «Техника и технологии строительства», «Строительство»,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«Агроинженерия»,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«Жилищное хозяйство и коммунальная инфраструктура»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четырех лет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стажа гражданской службы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осуществляет эффективное взаимодействие с исполнительными органами государственной власти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Забайкальского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организациями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общественными объединениями в пределах компетенции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предоставляет необходимую информацию в порядке и сроки, установленные действующим законодательством;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систематически повышает свой профессиональный уровень в соответствии с действующим законодательством;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анализирует практику применения действующего законодательства Росс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ийской Федерации, субъектов Российской Федерации и мнения ведущих ученых по вопросам, относящимся к компетенции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инистерства.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227 368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273 242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  <w:highlight w:val="none"/>
              </w:rPr>
            </w:r>
            <w:hyperlink r:id="rId10" w:tooltip="https://gossluzhba.gov.ru/vacancy/b1b5082f-8409-46a8-a9c5-0f63dfacd82f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  <w:t xml:space="preserve">https://gossluzhba.gov.ru/vacancy/b1b5082f-8409-46a8-a9c5-0f63dfacd82f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высшее образование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 специальностям, направлени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ям 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«Экономика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», «Менеджмент»,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«Юриспруденция»,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«Государственное и муниципальное управление»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«Электро- и тепло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техника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Теплоэнергетика и теплотехника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«Электроэнергетика и электротехника», «Агроинженерия», «Техника и технологии строительства»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не менее четырех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стажа гражданской службы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визирует подготовленные государственными гражданскими служащими управления материалы, подписывает служебную документацию в пределах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утверждает текущие, перспективные планы работы министерства, осуществляет контроль за ходом их выполнения;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63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содействует государственным гражданским служащим министерства в подготовке материалов и опубликовании их в печати, а также электронных средствах массовой информации;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курир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программ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и проект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в сфере развития топливно-энергетического комплекса и жилищно-коммунального хозяйства;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готовит предложения по формированию показателей проекта бюджета Забайкальского края.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155 000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201 000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Помощник министра (по вопросам взаимодействия со СМИ)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hyperlink r:id="rId11" w:tooltip="https://gossluzhba.gov.ru/vacancy/f244065b-ca82-4877-a3df-1cb934c335f2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  <w:t xml:space="preserve">https://gossluzhba.gov.ru/vacancy/f244065b-ca82-4877-a3df-1cb934c335f2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«История», «Экономика», «Международные отношения»,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«Журналистика»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, «Реклама и связи с общественностью»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, «Государственное и муниципальное управление»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наличие не менее двух лет стажа гражданской службы или стажа работы по специальности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взаимодейств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овать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общественными организациями;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готовит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информационные материалы для СМИ, участв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овать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в подготовке пресс-релизов, интервью и других материалов для СМИ;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организ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овывать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информационное обеспечение рабочих командировок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Министра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осуществля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информационное обеспечение заседаний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Министерства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осуществля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фотосъемку мероприятий;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обеспечива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контентное наполнение официальных страниц Министерства в социальных сетях.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56 868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85 000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  <w:t xml:space="preserve">Начальник отдела политики энергосбережения, топливо- и газоснабжения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  <w:t xml:space="preserve">высшее образование по специальностям, направлениям подготовки «Электроэнергетика и электротехника», «Теплоэнергетика и теплотехника», «Юриспруденция», «Экономика», «Государственное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cs="Times New Roman"/>
                <w:b w:val="0"/>
                <w:bCs w:val="0"/>
                <w:color w:val="92d05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  <w:t xml:space="preserve">проведение работы по предоставлению субсидий из бюджета Забайкальского края юрид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  <w:t xml:space="preserve">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проживающие населенных пунктах Забайкальского края, не обеспеченных централизованным электроснабжением;</w:t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92d05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  <w:t xml:space="preserve">заключение соглашений с юридическими лицами (за исключением государственных (муниципальных) учреждений), индивидуальными предпринимателями, снабжающим электрической энергией население, пр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  <w:t xml:space="preserve">оживающие в населенных пунк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  <w:t xml:space="preserve">тах Забайкальского края, не обеспеченных централизованным электроснабжением.</w:t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92d05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  <w:t xml:space="preserve">79 522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92d05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  <w:t xml:space="preserve">102 000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  <w:t xml:space="preserve">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Заместитель начальника отдела энергетики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hyperlink r:id="rId12" w:tooltip="https://gossluzhba.gov.ru/vacancy/5e18d2e0-735c-4e06-a187-24eab1ce8fa3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  <w:t xml:space="preserve">https://gossluzhba.gov.ru/vacancy/5e18d2e0-735c-4e06-a187-24eab1ce8fa3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выс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шее образование по специальностям, направлениям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«Электро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энергетика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электротехника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«Теплоэнергетика и теплотехника», «Агроинженерия»,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«Экономика», «Государственное и муниципальное управление»,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«Юриспруденция»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формировать перечень объектов топливно-энергетического комплекса, подлежащих категорированию;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подготавливать предложение в Правительство Забайкальс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кого края о создании (актуализа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ции) штаба по обеспечению безопасности электроснабжения, актуализации его состава;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организовывать заседания штаба по обеспечению безопасности электроснабжения, вести протоколы заседаний;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являться помощником секретаря Штаба по обеспечению безопасности электроснабжения Забайкальского края.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61 518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86 482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Консультант отдела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 энергетики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 г. 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ff"/>
                <w:spacing w:val="-4"/>
                <w:sz w:val="22"/>
                <w:szCs w:val="22"/>
                <w:highlight w:val="none"/>
              </w:rPr>
            </w:r>
            <w:hyperlink r:id="rId13" w:tooltip="https://gossluzhba.gov.ru/vacancy/4514faff-de5a-4776-adf4-ac5982aeb25e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pacing w:val="-4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pacing w:val="-4"/>
                  <w:sz w:val="22"/>
                  <w:szCs w:val="22"/>
                  <w:highlight w:val="none"/>
                </w:rPr>
                <w:t xml:space="preserve">https://gossluzhba.gov.ru/vacancy/4514faff-de5a-4776-adf4-ac5982aeb25e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pacing w:val="-4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pacing w:val="-4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ысшее образование по специальностям, направлениям подготовки «Электро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энергетика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электротехника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, «Теплоэнергетика и теплотехника», «Агроинженерия»,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«Экономика», «Государственное и муниципальное управление»,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«Юриспруденция»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участвует в организации и осуществлении работы по разработке и реализации краевых целевых программ развития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электроэнергетики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на территории края;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осуществляет подготовку правовых актов по направлениям деятельности отдела;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участвует в совершенствовании нормативной правовой базы, в подготовке проектов законов, иных нормативных правовых актов Забайкальского края в сфере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электроэнергетики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в пределах компетенции Министерства;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подготавливает проекты соглашений, а также осуществляет рассмотрение и проверку поступивших предложений о заключении соглашений по направлениям деятельности отдела.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47 297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79 948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pacing w:val="-4"/>
                <w:sz w:val="22"/>
                <w:szCs w:val="22"/>
              </w:rPr>
              <w:t xml:space="preserve">Консультант отдела связи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hyperlink r:id="rId14" w:tooltip="https://gossluzhba.gov.ru/vacancy/bd87faa2-e2e1-4e67-b77a-3b15a530b28a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  <w:t xml:space="preserve">https://gossluzhba.gov.ru/vacancy/bd87faa2-e2e1-4e67-b77a-3b15a530b28a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«Электроника, радиотехника и системы связи», «Государственное и муниципальное управление», «Инфокоммуникационные технологии и системы связи», «Электроника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наноэлектроника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», «Менеджмент», «Экономика»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наличие не менее одного года стажа гражданской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участие в согласовании режима работы всех отделений «Почта России»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координация работы всех операторов связи реализующих свою детальность на территории Забайкальского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участие в организации и реализации мероприятий по предоставлению современных услуг связи на территории Забайкальского края;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участие в работах по созданию и функционированию информационных систем.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47 297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79 948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Консультант отдела связи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, 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Style w:val="845"/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</w:rPr>
            </w:r>
            <w:hyperlink r:id="rId15" w:tooltip="https://gossluzhba.gov.ru/vacancy/1b19be1b-ec82-4cf9-ae6f-f88161b8458d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</w:rPr>
                <w:t xml:space="preserve">https://gossluzhba.gov.ru/vacancy/1b19be1b-ec82-4cf9-ae6f-f88161b8458d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</w:rPr>
              </w:r>
            </w:hyperlink>
            <w:r>
              <w:rPr>
                <w:rStyle w:val="845"/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</w:rPr>
            </w:r>
            <w:r>
              <w:rPr>
                <w:rStyle w:val="845"/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«Электроника, радиотехника и системы связи», «Государственное и муниципальное управление», «Инфокоммуникационные технологии и системы связи», «Электроника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наноэлектроника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», «Менеджмент», «Экономика»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наличие не менее одного года стажа гражданской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службы или стажа работы по специальности, направлению подготов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совместно с ответственными лицами за проведение закупок участвовать в выборе способа определения поставщика (подрядчика, исполнителя), подготовке документации о закупках, проектов контрактов, заключение которых осуществляется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обеспечивать осуществление закупок, в том числе заключение контрактов (взаимодействие с уполномоченным органом в сфере закупок, с победителем торгов);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осуществ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лять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правов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банковских гарантий и организаци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осуществления уплаты денежных сумм по банковской гарантии;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регистрировать контракты на официальном сайте Единой информационной системы в сфере закупок.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47 297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79 948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Консультант отдела стратегического планирования и сопровождения инвестиционных проектов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  <w:highlight w:val="none"/>
              </w:rPr>
            </w:r>
            <w:hyperlink r:id="rId16" w:tooltip="https://gossluzhba.gov.ru/vacancy/4585f0b0-1be8-4283-a9ac-a795c517a074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  <w:t xml:space="preserve">https://gossluzhba.gov.ru/vacancy/4585f0b0-1be8-4283-a9ac-a795c517a074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«Государственное и муниципальное управление», «Экономика», «Менеджмент», «Архитектура»,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«Юриспруденция»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наличие не менее одного года стажа гражданской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службы или стажа работы по специальности, направлению подготовки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участ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в разработке прогнозов социально-экономического развития края по показателям жилищно-коммунального хозяйства в пределах полномочий отдела;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firstLine="0"/>
              <w:jc w:val="center"/>
              <w:widowControl w:val="off"/>
              <w:tabs>
                <w:tab w:val="left" w:pos="567" w:leader="none"/>
                <w:tab w:val="left" w:pos="965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участвует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в разработке предложений по реализации государственных программ, реализуемых Министерством, в рамках компетенции отдела;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9"/>
              <w:ind w:left="142" w:firstLine="0"/>
              <w:jc w:val="center"/>
              <w:tabs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организовывает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и участ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в проведении семинаров, совещаний, круглых столов по вопросам функционирования жилищно-коммунального хозяйства края, относящимся к компетенции отдела;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осуществляет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анализ федеральных правовых актов, законов Забайкальского края на предмет определения необходимости принятия в соответствии с ними правовых актов Забайкальского края.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47 297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79 948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pacing w:val="-4"/>
                <w:sz w:val="22"/>
                <w:szCs w:val="22"/>
              </w:rPr>
              <w:t xml:space="preserve">Главный специалист-эксперт отдела политики энергосбережения, топливо- и газоснабжения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hyperlink r:id="rId17" w:tooltip="https://gossluzhba.gov.ru/vacancy/a0b4c39e-c772-4ddd-abc3-7b2255e102b9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  <w:t xml:space="preserve">https://gossluzhba.gov.ru/vacancy/a0b4c39e-c772-4ddd-abc3-7b2255e102b9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высшее образование по специальностям, направлениям подготовки «Электроэнергетика и электротехника», «Теплоэнергетика и теплотехника», «Юриспруденция», «Экономика», «Государственное и муниципальное управление»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требования к стаж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у гра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жданской службы или стажу работы по специальности, направлению подготовки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роведение мониторинга деятельности предприятий, занимающихся регулируемыми видами деятельности, по вопросам повышения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эн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ергоэффективности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, выработка предложений по повышению эффективности;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  <w:p>
            <w:pPr>
              <w:ind w:left="142" w:firstLine="0"/>
              <w:jc w:val="center"/>
              <w:widowControl w:val="off"/>
              <w:tabs>
                <w:tab w:val="left" w:pos="567" w:leader="none"/>
                <w:tab w:val="left" w:pos="965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предоставление в федеральный орган исполнительной власти, уполномоченный на создание и обеспечение функционирования государственной информационной системы в области энергосбережения и пов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ышения энергетической эффективности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необходимой информации в соответствии с правилами, утвержденными Правительством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36 959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68 395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57"/>
        </w:trPr>
        <w:tc>
          <w:tcPr>
            <w:gridSpan w:val="16"/>
            <w:tcW w:w="156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должности работников с оплатой труда на основе профессиональных квалификационных групп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отдела цифровой инфраструктуры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ысшее образование по специальностям, направлениям подготовки укрупненных групп«Компьютерные и информационные науки», «Информатика и вычислительная техника», «Электроника, радиотехника и системы связи», «Управление в технических системах», «Информационная 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езопасность», «Математика и механика», «Образование и педагогические науки», либо по специальности, направлению подготовки «Прикладная математика и информатика», «Государственное и муниципальное управление», «Бизнес-информатика»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требования к стажу не предъявляются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еспечение реализации мероприятий по созданию, развитию и эксплуатации информационных систем, оператором которых является 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координация открытия и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существление консультирование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контроль функционирования пунктов подтверждения полной учетной записи в ЕСИА (далее – Центры обслуживания) на базе исполнительных органов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Забайкальского края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органов местного самоуправления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Забайкальского края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а также их подведомственных организаций.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48 268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48 268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отдела развития жилищно-коммунального хозяйства управления жилищно-коммунального хозяйства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образование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укрупненной группе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специальност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ей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направлени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подготовки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«Экономика и управление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либо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специальност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направлени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«Юриспруденция»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«Строительство», «Теплоэнергетика и теплотехника», «Электроэнергетика и электротехника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«Техносферная безопасность»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требования к стажу не предъявляются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рассматривать в установленном порядке жалобы, обращения, заявления граждан, общественных объединений, органов государственной власти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местного самоуправления;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обеспечивать соблюдение требований правовых актов Министерства, устанавливающих порядок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работы с персональными данными;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разрабатывать проекты законов и иных нормативных и правовых актов в сфере жилищно-коммунального хозяйства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48 268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48 268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Маркова Юлия Викторовна,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(доб.5511)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59"/>
        </w:trPr>
        <w:tc>
          <w:tcPr>
            <w:gridSpan w:val="16"/>
            <w:tcW w:w="15614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none"/>
              </w:rPr>
              <w:t xml:space="preserve">Данные о вакантных должностях в краевых государственных учреждениях, координация и регулирование деятельности, которых возложены на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none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Инженер по защите информации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отдела корпоративной сети передачи данных и автоматизированных информационных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«Информационная безопасность» (10.03.01), «Инфокоммуникационные технологии и системы связи» (11.03.02)«Информатика и вычислительная техника» (09.03.01)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1-го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Проведение анализа   уязвимости   программных   и   программно-аппаратных средств системы защиты информации автоматизированной системы;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Проведение анализа уязвимостей автоматизированных и информационных систем;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Определение   правил   и   процедур   управления   системой   защиты информации автоматизированной системы;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Определение  правил  и  процедур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мониторинга  обеспечения  уровня защищенности информации автоматизированной системы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44 931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50 076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Рук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оводитель группы (отдела транспортных и технологических сетей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сопровождения информационных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«Информационная безопасность» (10.03.01), «Инфокоммуникационные технологии и системы связи» (11.03.02)«Информатика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вычислительная техника» (09.03.01),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Организует процесс  централизованного технического сопровождения создаваемых автоматизированных информационных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систем в исполнительных органах государственной власти Забайкальского края.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Осуществляет контроль сопровождения эксплуатации электронного документооборота и обеспечения взаимодействия исполнительных органов государственной власти Забайкальского края.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65 121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70 579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808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инженер - программист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 «Инфокоммуникационные технологии и системы связи» (11.03.02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«Информатика и вычислительная техника» (09.03.01), Прикладная информатика (09.03.03)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 и проверка исходного программного кода;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Отладка программного кода на уровне программных модулей;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Отладка программного кода на  уровне межмодульных взаимодействий и взаимодействий с окружением;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Оценка и согласование сроков проверки и отладки программного кода;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процедуры проверки работоспособности программного обеспечения;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процедуры сбора диагностических данных;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процедуры измерения требуемых характеристик программного обеспечения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53 192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58 441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Руководитель группы (отдела Удостоверяющий центр) сопровождения информационных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,  специальность:  «Информационная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безопасность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» (10.03.01), «Инфокоммуникационные технологии и системы связи» (11.03.02)«Информатика и вычислительная техника» (09.03.01),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Осуществлять планирование, контроль точного и своевременного выполнения плана работы и составление отчетных документов Удостоверяющего центра как структурного подразделения Учреждения.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Обеспечивать бесперебойную работу Удостоверяющего центра.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Разрабатывать нормативные, инструктивные и другие документы для обеспечения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деятельности Удостоверяющего центра.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65 121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70 579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специалист (4 штатных единицы)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 «Инфокоммуникационные технологии и системы связи» (11.03.02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«Информатика и вычислительная техника» (09.03.01), Прикладная информатика (09.03.03)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Сбор и анализ нереализованных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требностей пользователей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Исследование рынка перспективных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их принципиальных возможностей;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Подготовка плана реализации принятых решений по перспективному развитию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 основных этапов обновления версий программного обеспечения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и описание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типовых процессов по обновлению версий баз данных;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   Подготовка регламентирующих документов по обновлению версий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62 097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67 450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Старший администратор баз данных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отдела корпоративной сети передачи данных и автоматизированных информационных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специальность: «Инфокоммуникационные технологии и системы связи» (11.03.02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«Информатика и вычислительная техника» (09.03.01), Прикладная информатика (09.03.03)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Выбор основных средств поддержки информационной безопасности на уровне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Выявление действий, нарушающих регламент обеспечения безопасности на уровне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Корректировка действий при отклонении от регламента обеспечения безопасности на уровне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Устранение последствий некорректных действий,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ведущих к снижению информационной безопасности на уровне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44 931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50 076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Администратор баз данных отдела коорпаративной сети перидачи данныхи и автоматизированных информационных систем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Высшее,  специальность:  «Инфокоммуникационные технологии и системы связи» (11.03.02) «Информатика и вычислительная техника» (09.03.01), Прикладная информатика (09.03.03)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 1-го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Производить мониторинг работы базы данных, в том числе различными автоматизированными средствами;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Анализировать полученные статистических данных, формировать выводов об эффективности работы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Анализировать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возможности по управлению вычислительными ресурсами, взаимодействующими 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Управлять вычислительными ресурсами, взаимодействующими 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797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профессиональное (техническое или инженерно-экономическое) образование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таж работы на руководящих должностях в соответствующей профилю предприятия отрасли не менее пяти лет.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spacing w:before="0" w:beforeAutospacing="0" w:after="60" w:afterAutospacing="0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 w:themeColor="text1"/>
                <w:sz w:val="22"/>
                <w:szCs w:val="22"/>
              </w:rPr>
              <w:t xml:space="preserve">Руководство деятельностью </w:t>
            </w:r>
            <w:r>
              <w:rPr>
                <w:color w:val="000000" w:themeColor="text1"/>
                <w:sz w:val="22"/>
                <w:szCs w:val="22"/>
              </w:rPr>
              <w:t xml:space="preserve">учреждения</w:t>
            </w:r>
            <w:r>
              <w:rPr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76"/>
              <w:jc w:val="center"/>
              <w:spacing w:before="0" w:beforeAutospacing="0" w:after="60" w:afterAutospacing="0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 w:themeColor="text1"/>
                <w:sz w:val="22"/>
                <w:szCs w:val="22"/>
              </w:rPr>
              <w:t xml:space="preserve">Организация работы и эффективного взаимодействия всех структурных подразделений субъекта.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76"/>
              <w:jc w:val="center"/>
              <w:spacing w:before="0" w:beforeAutospacing="0" w:after="60" w:afterAutospacing="0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 w:themeColor="text1"/>
                <w:sz w:val="22"/>
                <w:szCs w:val="22"/>
              </w:rPr>
              <w:t xml:space="preserve">Представление интересов </w:t>
            </w:r>
            <w:r>
              <w:rPr>
                <w:color w:val="000000" w:themeColor="text1"/>
                <w:sz w:val="22"/>
                <w:szCs w:val="22"/>
              </w:rPr>
              <w:t xml:space="preserve">учреждения</w:t>
            </w:r>
            <w:r>
              <w:rPr>
                <w:color w:val="000000" w:themeColor="text1"/>
                <w:sz w:val="22"/>
                <w:szCs w:val="22"/>
              </w:rPr>
              <w:t xml:space="preserve">, заключение сделок от его имени.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76"/>
              <w:jc w:val="center"/>
              <w:spacing w:before="0" w:beforeAutospacing="0" w:after="60" w:afterAutospacing="0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 w:themeColor="text1"/>
                <w:sz w:val="22"/>
                <w:szCs w:val="22"/>
              </w:rPr>
              <w:t xml:space="preserve">Обеспечение законности ведения финансово-</w:t>
            </w:r>
            <w:r>
              <w:rPr>
                <w:color w:val="000000" w:themeColor="text1"/>
                <w:sz w:val="22"/>
                <w:szCs w:val="22"/>
              </w:rPr>
              <w:t xml:space="preserve">хозяйственной деятельности </w:t>
            </w:r>
            <w:r>
              <w:rPr>
                <w:color w:val="000000" w:themeColor="text1"/>
                <w:sz w:val="22"/>
                <w:szCs w:val="22"/>
              </w:rPr>
              <w:t xml:space="preserve">учреждения</w:t>
            </w:r>
            <w:r>
              <w:rPr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hanging="10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90 873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90 873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Горковенко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Юлия 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Журавлева, д.20, к. №208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highlight w:val="yellow"/>
              </w:rPr>
              <w:t xml:space="preserve">Инженер-проектировщик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W w:w="3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Не менее 2 </w:t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лет</w:t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hanging="107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В разработке</w:t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36 676</w:t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36 676</w:t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Горковенко</w:t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yellow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  <w:t xml:space="preserve">Журавлева, д.20, к. №208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Инженер-теплотехник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0,5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ысшее </w:t>
            </w:r>
            <w:r>
              <w:rPr>
                <w:rFonts w:ascii="Times New Roman" w:hAnsi="Times New Roman" w:cs="Times New Roman"/>
              </w:rPr>
              <w:t xml:space="preserve">профессиональное (техническое) </w:t>
            </w:r>
            <w:r>
              <w:rPr>
                <w:rFonts w:ascii="Times New Roman" w:hAnsi="Times New Roman" w:cs="Times New Roman"/>
              </w:rPr>
              <w:t xml:space="preserve">образование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таж работы </w:t>
            </w:r>
            <w:r>
              <w:rPr>
                <w:rFonts w:ascii="Times New Roman" w:hAnsi="Times New Roman" w:cs="Times New Roman"/>
              </w:rPr>
              <w:t xml:space="preserve">по специальности в энергетике или </w:t>
            </w:r>
            <w:r>
              <w:rPr>
                <w:rFonts w:ascii="Times New Roman" w:hAnsi="Times New Roman" w:cs="Times New Roman"/>
              </w:rPr>
              <w:t xml:space="preserve">жилищно-коммунальной сфере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firstLine="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-Проектирование, эксплуатирование и обслуживание системы теплоснабжения, вентиляции, кондиционирования и котельное оборудование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r>
          </w:p>
          <w:p>
            <w:pPr>
              <w:ind w:hanging="10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-Обеспечение бесперебойной работы сетей, контроль энергопотребления, ремонт оборудования,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ведение документации, соблюдение норм безопасности и энергоэффективности.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87 526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87 526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Горковенко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Журавлева, д.20, к. №208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Инженер-химик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0,5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Высшее техническое или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средне-специальное образование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num" w:pos="1440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Стаж работы не менее 3-х лет.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-Контроль мероприятий по внедрению новых технологий, повышению надежности и экономичной работы оборудования химической водоподготовки на котельных и систем питьевого водоснабжения населения;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-Инспектирование работ химической водоподготовки котельных, ЦТП, систем питьевого водоснабжения населения во время эксплуатации, проведения наладочных работ и в переходные периоды;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-Контроль проведения опытно-экспериментальных работ.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78 273,97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78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273,97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Горковенко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Юлия 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Журавлева, д.20, к. №208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Инженер-дефектоскопист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0,5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ind w:left="-64"/>
              <w:jc w:val="center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ысшее техническое или средне-специальное образование;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64"/>
              <w:jc w:val="center"/>
              <w:spacing w:after="1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.</w:t>
            </w:r>
            <w:r>
              <w:rPr>
                <w:rFonts w:ascii="Times New Roman" w:hAnsi="Times New Roman" w:cs="Times New Roman"/>
                <w:szCs w:val="21"/>
              </w:rPr>
            </w:r>
            <w:r>
              <w:rPr>
                <w:rFonts w:ascii="Times New Roman" w:hAnsi="Times New Roman" w:cs="Times New Roman"/>
                <w:szCs w:val="21"/>
              </w:rPr>
            </w:r>
          </w:p>
          <w:p>
            <w:pPr>
              <w:jc w:val="center"/>
              <w:tabs>
                <w:tab w:val="num" w:pos="1440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С</w:t>
            </w:r>
            <w:r>
              <w:rPr>
                <w:rFonts w:ascii="Times New Roman" w:hAnsi="Times New Roman" w:cs="Times New Roman"/>
                <w:szCs w:val="21"/>
              </w:rPr>
              <w:t xml:space="preserve">таж работы в качестве специалиста по неразрушающему контролю (НК) не менее </w:t>
            </w:r>
            <w:r>
              <w:rPr>
                <w:rFonts w:ascii="Times New Roman" w:hAnsi="Times New Roman" w:cs="Times New Roman"/>
                <w:szCs w:val="21"/>
              </w:rPr>
              <w:t xml:space="preserve">2 лет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-6" w:hanging="718"/>
              <w:jc w:val="center"/>
              <w:spacing w:before="100" w:beforeAutospacing="1" w:after="100" w:afterAutospacing="1"/>
              <w:shd w:val="clear" w:color="auto" w:fill="ffffff"/>
              <w:tabs>
                <w:tab w:val="num" w:pos="360" w:leader="none"/>
                <w:tab w:val="clear" w:pos="7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Проведение работ по неразрушающему контролю с применением ультразвукового, магнитопорошкового, капиллярного, визуально-измерительного, радиографического и иных методов.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numPr>
                <w:ilvl w:val="0"/>
                <w:numId w:val="15"/>
              </w:numPr>
              <w:ind w:left="-6" w:hanging="808"/>
              <w:jc w:val="center"/>
              <w:spacing w:before="100" w:beforeAutospacing="1" w:after="100" w:afterAutospacing="1"/>
              <w:shd w:val="clear" w:color="auto" w:fill="ffffff"/>
              <w:tabs>
                <w:tab w:val="num" w:pos="0" w:leader="none"/>
                <w:tab w:val="clear" w:pos="7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Составление технологических карт (инструкций) по неразрушающему контролю.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numPr>
                <w:ilvl w:val="0"/>
                <w:numId w:val="15"/>
              </w:numPr>
              <w:ind w:left="-6" w:hanging="868"/>
              <w:jc w:val="center"/>
              <w:spacing w:before="100" w:beforeAutospacing="1" w:after="100" w:afterAutospacing="1"/>
              <w:shd w:val="clear" w:color="auto" w:fill="ffffff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Составление отчетной документации по результатам контроля.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87 526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87 526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Горковенко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Журавлева, д.20, к. №208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</w:r>
            <w:bookmarkEnd w:id="0"/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 xml:space="preserve">Инженер-сметчик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</w:rPr>
              <w:t xml:space="preserve">0,5 </w:t>
            </w:r>
            <w:r>
              <w:rPr>
                <w:rFonts w:ascii="Times New Roman" w:hAnsi="Times New Roman" w:cs="Times New Roman"/>
                <w:color w:val="ff0000"/>
                <w:highlight w:val="none"/>
              </w:rPr>
            </w:r>
            <w:r>
              <w:rPr>
                <w:rFonts w:ascii="Times New Roman" w:hAnsi="Times New Roman" w:cs="Times New Roman"/>
                <w:color w:val="ff0000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num" w:pos="1440" w:leader="none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ff0000"/>
              </w:rPr>
              <w:t xml:space="preserve">ысшее профессиональное образование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ff0000"/>
              </w:rPr>
              <w:t xml:space="preserve">е менее 2 лет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hanging="107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hd w:val="clear" w:color="auto" w:fill="ffffff"/>
              </w:rPr>
              <w:t xml:space="preserve">-С</w:t>
            </w:r>
            <w:r>
              <w:rPr>
                <w:rFonts w:ascii="Times New Roman" w:hAnsi="Times New Roman" w:eastAsia="Times New Roman" w:cs="Times New Roman"/>
                <w:color w:val="ff0000"/>
                <w:shd w:val="clear" w:color="auto" w:fill="ffffff"/>
              </w:rPr>
              <w:t xml:space="preserve">оставление и проверк</w:t>
            </w:r>
            <w:r>
              <w:rPr>
                <w:rFonts w:ascii="Times New Roman" w:hAnsi="Times New Roman" w:eastAsia="Times New Roman" w:cs="Times New Roman"/>
                <w:color w:val="ff0000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ff0000"/>
                <w:shd w:val="clear" w:color="auto" w:fill="ffffff"/>
              </w:rPr>
              <w:t xml:space="preserve"> сметной документации (локальных, объектных, сводных), определение объемов работ, согласование договоров, а также подготовку актов выполненных работ (КС-2, КС-3)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  <w:t xml:space="preserve">78 854</w:t>
            </w:r>
            <w:r>
              <w:rPr>
                <w:rFonts w:ascii="Times New Roman" w:hAnsi="Times New Roman" w:eastAsia="Times New Roman" w:cs="Times New Roman"/>
                <w:color w:val="ff0000"/>
              </w:rPr>
              <w:br/>
              <w:t xml:space="preserve">(за 0,5 ставки)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  <w:t xml:space="preserve">78 854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  <w:t xml:space="preserve">(за 0,5 ставки)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color w:val="ff0000"/>
              </w:rPr>
              <w:t xml:space="preserve">Горковенко</w:t>
            </w:r>
            <w:r>
              <w:rPr>
                <w:rFonts w:ascii="Times New Roman" w:hAnsi="Times New Roman" w:eastAsia="Times New Roman" w:cs="Times New Roman"/>
                <w:color w:val="ff0000"/>
              </w:rPr>
              <w:t xml:space="preserve"> Юлия Владимировна</w:t>
            </w:r>
            <w:r>
              <w:rPr>
                <w:rFonts w:ascii="Times New Roman" w:hAnsi="Times New Roman" w:eastAsia="Times New Roman" w:cs="Times New Roman"/>
                <w:color w:val="ff0000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Г. Чита, ул. Журавлева, д.20, к. №208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Водитель</w:t>
            </w:r>
            <w:r>
              <w:rPr>
                <w:rFonts w:ascii="Times New Roman" w:hAnsi="Times New Roman" w:cs="Times New Roman"/>
                <w:b w:val="0"/>
                <w:bCs w:val="0"/>
              </w:rPr>
              <w:br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tabs>
                <w:tab w:val="num" w:pos="1440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Не менее 2 </w:t>
            </w:r>
            <w:r>
              <w:rPr>
                <w:rFonts w:ascii="Times New Roman" w:hAnsi="Times New Roman" w:cs="Times New Roman"/>
              </w:rPr>
              <w:t xml:space="preserve">лет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shd w:val="clear" w:color="auto" w:fill="ffffff"/>
              <w:rPr>
                <w:color w:val="333333" w:themeColor="text1"/>
                <w:sz w:val="22"/>
                <w:szCs w:val="22"/>
              </w:rPr>
            </w:pP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Техническое обслуживание</w:t>
            </w:r>
            <w:r>
              <w:rPr>
                <w:color w:val="000000" w:themeColor="text1"/>
                <w:sz w:val="22"/>
                <w:szCs w:val="22"/>
              </w:rPr>
              <w:t xml:space="preserve">: ежедневный осмотр, контроль технического состояния, своевременная подача заявок на ремонт, </w:t>
            </w:r>
            <w:r>
              <w:rPr>
                <w:color w:val="000000" w:themeColor="text1"/>
                <w:sz w:val="22"/>
                <w:szCs w:val="22"/>
              </w:rPr>
              <w:t xml:space="preserve">поддержание чистоты салона.</w:t>
            </w:r>
            <w:r>
              <w:rPr>
                <w:color w:val="333333" w:themeColor="text1"/>
                <w:sz w:val="22"/>
                <w:szCs w:val="22"/>
              </w:rPr>
            </w:r>
            <w:r>
              <w:rPr>
                <w:color w:val="333333" w:themeColor="text1"/>
                <w:sz w:val="22"/>
                <w:szCs w:val="22"/>
              </w:rPr>
            </w:r>
          </w:p>
          <w:p>
            <w:pPr>
              <w:pStyle w:val="874"/>
              <w:jc w:val="center"/>
              <w:spacing w:before="0" w:beforeAutospacing="0" w:after="120" w:afterAutospacing="0"/>
              <w:shd w:val="clear" w:color="auto" w:fill="ffffff"/>
              <w:rPr>
                <w:color w:val="333333" w:themeColor="text1"/>
                <w:sz w:val="22"/>
                <w:szCs w:val="22"/>
              </w:rPr>
            </w:pP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Безопасное вождение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color w:val="000000" w:themeColor="text1"/>
                <w:sz w:val="22"/>
                <w:szCs w:val="22"/>
              </w:rPr>
              <w:t xml:space="preserve"> соблюдение ПДД, обеспечение безопасности пассажиров, следование правилам перевозки.</w:t>
            </w:r>
            <w:r>
              <w:rPr>
                <w:color w:val="333333" w:themeColor="text1"/>
                <w:sz w:val="22"/>
                <w:szCs w:val="22"/>
              </w:rPr>
            </w:r>
            <w:r>
              <w:rPr>
                <w:color w:val="333333" w:themeColor="text1"/>
                <w:sz w:val="22"/>
                <w:szCs w:val="22"/>
              </w:rPr>
            </w:r>
          </w:p>
          <w:p>
            <w:pPr>
              <w:pStyle w:val="874"/>
              <w:jc w:val="center"/>
              <w:spacing w:before="0" w:beforeAutospacing="0" w:after="120" w:afterAutospacing="0"/>
              <w:shd w:val="clear" w:color="auto" w:fill="ffffff"/>
              <w:rPr>
                <w:color w:val="333333" w:themeColor="text1"/>
                <w:sz w:val="22"/>
                <w:szCs w:val="22"/>
              </w:rPr>
            </w:pP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Документационное обеспечение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color w:val="000000" w:themeColor="text1"/>
                <w:sz w:val="22"/>
                <w:szCs w:val="22"/>
              </w:rPr>
              <w:t xml:space="preserve"> правильное оформление путевых листов, ведение журнала учёта пробега, контроль сроков страховки.</w:t>
            </w:r>
            <w:r>
              <w:rPr>
                <w:color w:val="333333" w:themeColor="text1"/>
                <w:sz w:val="22"/>
                <w:szCs w:val="22"/>
              </w:rPr>
            </w:r>
            <w:r>
              <w:rPr>
                <w:color w:val="333333" w:themeColor="text1"/>
                <w:sz w:val="22"/>
                <w:szCs w:val="22"/>
              </w:rPr>
            </w:r>
          </w:p>
          <w:p>
            <w:pPr>
              <w:pStyle w:val="874"/>
              <w:jc w:val="center"/>
              <w:spacing w:before="0" w:beforeAutospacing="0" w:after="120" w:afterAutospacing="0"/>
              <w:shd w:val="clear" w:color="auto" w:fill="ffffff"/>
              <w:rPr>
                <w:color w:val="333333"/>
                <w:sz w:val="22"/>
                <w:szCs w:val="22"/>
              </w:rPr>
            </w:pP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Сервисное обслуживание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color w:val="000000" w:themeColor="text1"/>
                <w:sz w:val="22"/>
                <w:szCs w:val="22"/>
              </w:rPr>
              <w:t xml:space="preserve"> вежливое и корректное взаимодействие с пассажирами, помощь при погрузке/выгрузке.</w:t>
            </w:r>
            <w:r>
              <w:rPr>
                <w:color w:val="333333"/>
                <w:sz w:val="22"/>
                <w:szCs w:val="22"/>
              </w:rPr>
            </w:r>
            <w:r>
              <w:rPr>
                <w:color w:val="333333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72 943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72 943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Горковенко</w:t>
            </w:r>
            <w:r>
              <w:rPr>
                <w:rFonts w:ascii="Times New Roman" w:hAnsi="Times New Roman" w:cs="Times New Roman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Журавлева, д.20, к. №208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</w:rPr>
              <w:t xml:space="preserve">Специалист по мониторингу (диспетчер)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</w:rPr>
              <w:t xml:space="preserve">0,5 ед.</w:t>
            </w:r>
            <w:r>
              <w:rPr>
                <w:rFonts w:ascii="Times New Roman" w:hAnsi="Times New Roman" w:cs="Times New Roman"/>
                <w:color w:val="ff0000"/>
                <w:highlight w:val="none"/>
              </w:rPr>
            </w:r>
            <w:r>
              <w:rPr>
                <w:rFonts w:ascii="Times New Roman" w:hAnsi="Times New Roman" w:cs="Times New Roman"/>
                <w:color w:val="ff0000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Среднее профессиональное или высшее образование, а также прохождение специализированных курсов или программ переподготовки в сфере </w:t>
            </w:r>
            <w:r>
              <w:rPr>
                <w:rFonts w:ascii="Times New Roman" w:hAnsi="Times New Roman" w:cs="Times New Roman"/>
                <w:color w:val="ff0000"/>
              </w:rPr>
              <w:t xml:space="preserve">автотранспорта и энергетики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  <w:p>
            <w:pPr>
              <w:jc w:val="center"/>
              <w:tabs>
                <w:tab w:val="num" w:pos="1440" w:leader="none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Не менее 2 года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Ведение, контроль и мониторинг требуемого режима работы котельного и теплового оборудования;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Выявление причин и мониторинг </w:t>
            </w:r>
            <w:r>
              <w:rPr>
                <w:rFonts w:ascii="Times New Roman" w:hAnsi="Times New Roman" w:cs="Times New Roman"/>
                <w:color w:val="ff0000"/>
              </w:rPr>
              <w:t xml:space="preserve">предпринимаемых мер по устранению технологических нарушений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 xml:space="preserve">работы тепло - энергоснабжения, водоснабжения;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Мониторинг производства переключений, пусков и остановок;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Мониторинг локализаций аварий и восстановление режима работы;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Мониторинг и контроль производства аварийных, ремонтных работ.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72 943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72 943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Горковенко</w:t>
            </w:r>
            <w:r>
              <w:rPr>
                <w:rFonts w:ascii="Times New Roman" w:hAnsi="Times New Roman" w:cs="Times New Roman"/>
                <w:color w:val="ff0000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  <w:color w:val="ff0000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Г. Чита, ул. Журавлева, д.20, к. № 602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Consolas">
    <w:panose1 w:val="020B0609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color w:val="000000"/>
        <w:sz w:val="24"/>
        <w:szCs w:val="24"/>
        <w:lang w:val="en-U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 w:cs="Wingdings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3"/>
    <w:next w:val="863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4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3"/>
    <w:next w:val="863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4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3"/>
    <w:next w:val="863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4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3"/>
    <w:next w:val="863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4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3"/>
    <w:next w:val="863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4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4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4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4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3"/>
    <w:next w:val="863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4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3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3"/>
    <w:next w:val="863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4"/>
    <w:link w:val="706"/>
    <w:uiPriority w:val="10"/>
    <w:rPr>
      <w:sz w:val="48"/>
      <w:szCs w:val="48"/>
    </w:rPr>
  </w:style>
  <w:style w:type="paragraph" w:styleId="708">
    <w:name w:val="Subtitle"/>
    <w:basedOn w:val="863"/>
    <w:next w:val="863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4"/>
    <w:link w:val="708"/>
    <w:uiPriority w:val="11"/>
    <w:rPr>
      <w:sz w:val="24"/>
      <w:szCs w:val="24"/>
    </w:rPr>
  </w:style>
  <w:style w:type="paragraph" w:styleId="710">
    <w:name w:val="Quote"/>
    <w:basedOn w:val="863"/>
    <w:next w:val="863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3"/>
    <w:next w:val="863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3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basedOn w:val="864"/>
    <w:link w:val="714"/>
    <w:uiPriority w:val="99"/>
  </w:style>
  <w:style w:type="paragraph" w:styleId="716">
    <w:name w:val="Footer"/>
    <w:basedOn w:val="863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basedOn w:val="864"/>
    <w:link w:val="716"/>
    <w:uiPriority w:val="99"/>
  </w:style>
  <w:style w:type="paragraph" w:styleId="718">
    <w:name w:val="Caption"/>
    <w:basedOn w:val="863"/>
    <w:next w:val="863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4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4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4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table" w:styleId="867">
    <w:name w:val="Table Grid"/>
    <w:basedOn w:val="8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8" w:customStyle="1">
    <w:name w:val="Plain Text"/>
    <w:basedOn w:val="717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olas" w:hAnsi="Consolas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69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0" w:customStyle="1">
    <w:name w:val="Без интервала"/>
    <w:uiPriority w:val="99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1" w:customStyle="1">
    <w:name w:val="Основной текст2"/>
    <w:basedOn w:val="746"/>
    <w:link w:val="77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30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-8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2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73" w:customStyle="1">
    <w:name w:val="uv3um"/>
  </w:style>
  <w:style w:type="paragraph" w:styleId="874" w:customStyle="1">
    <w:name w:val="futurismarkdown-listitem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75" w:customStyle="1">
    <w:name w:val="Strong"/>
    <w:uiPriority w:val="22"/>
    <w:qFormat/>
    <w:rPr>
      <w:b/>
      <w:bCs/>
    </w:rPr>
  </w:style>
  <w:style w:type="paragraph" w:styleId="876" w:customStyle="1">
    <w:name w:val="trt0xe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gossluzhba.gov.ru/vacancy/9e5daf3a-3f3a-4138-a544-f9e9f6e818ab" TargetMode="External"/><Relationship Id="rId10" Type="http://schemas.openxmlformats.org/officeDocument/2006/relationships/hyperlink" Target="https://gossluzhba.gov.ru/vacancy/b1b5082f-8409-46a8-a9c5-0f63dfacd82f" TargetMode="External"/><Relationship Id="rId11" Type="http://schemas.openxmlformats.org/officeDocument/2006/relationships/hyperlink" Target="https://gossluzhba.gov.ru/vacancy/f244065b-ca82-4877-a3df-1cb934c335f2" TargetMode="External"/><Relationship Id="rId12" Type="http://schemas.openxmlformats.org/officeDocument/2006/relationships/hyperlink" Target="https://gossluzhba.gov.ru/vacancy/5e18d2e0-735c-4e06-a187-24eab1ce8fa3" TargetMode="External"/><Relationship Id="rId13" Type="http://schemas.openxmlformats.org/officeDocument/2006/relationships/hyperlink" Target="https://gossluzhba.gov.ru/vacancy/4514faff-de5a-4776-adf4-ac5982aeb25e" TargetMode="External"/><Relationship Id="rId14" Type="http://schemas.openxmlformats.org/officeDocument/2006/relationships/hyperlink" Target="https://gossluzhba.gov.ru/vacancy/bd87faa2-e2e1-4e67-b77a-3b15a530b28a" TargetMode="External"/><Relationship Id="rId15" Type="http://schemas.openxmlformats.org/officeDocument/2006/relationships/hyperlink" Target="https://gossluzhba.gov.ru/vacancy/1b19be1b-ec82-4cf9-ae6f-f88161b8458d" TargetMode="External"/><Relationship Id="rId16" Type="http://schemas.openxmlformats.org/officeDocument/2006/relationships/hyperlink" Target="https://gossluzhba.gov.ru/vacancy/4585f0b0-1be8-4283-a9ac-a795c517a074" TargetMode="External"/><Relationship Id="rId17" Type="http://schemas.openxmlformats.org/officeDocument/2006/relationships/hyperlink" Target="https://gossluzhba.gov.ru/vacancy/a0b4c39e-c772-4ddd-abc3-7b2255e102b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sva2</cp:lastModifiedBy>
  <cp:revision>106</cp:revision>
  <dcterms:created xsi:type="dcterms:W3CDTF">2025-01-27T03:27:00Z</dcterms:created>
  <dcterms:modified xsi:type="dcterms:W3CDTF">2026-05-28T03:20:16Z</dcterms:modified>
</cp:coreProperties>
</file>