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D44740">
        <w:rPr>
          <w:rFonts w:ascii="Times New Roman" w:hAnsi="Times New Roman" w:cs="Times New Roman"/>
          <w:sz w:val="24"/>
          <w:szCs w:val="24"/>
        </w:rPr>
        <w:t>12</w:t>
      </w:r>
      <w:r>
        <w:rPr>
          <w:rFonts w:ascii="Times New Roman" w:hAnsi="Times New Roman" w:cs="Times New Roman"/>
          <w:sz w:val="24"/>
          <w:szCs w:val="24"/>
        </w:rPr>
        <w:t xml:space="preserve">» </w:t>
      </w:r>
      <w:r w:rsidR="00D44740">
        <w:rPr>
          <w:rFonts w:ascii="Times New Roman" w:hAnsi="Times New Roman" w:cs="Times New Roman"/>
          <w:sz w:val="24"/>
          <w:szCs w:val="24"/>
        </w:rPr>
        <w:t xml:space="preserve">января </w:t>
      </w:r>
      <w:r>
        <w:rPr>
          <w:rFonts w:ascii="Times New Roman" w:hAnsi="Times New Roman" w:cs="Times New Roman"/>
          <w:sz w:val="24"/>
          <w:szCs w:val="24"/>
        </w:rPr>
        <w:t>20</w:t>
      </w:r>
      <w:r w:rsidR="004C7CC9">
        <w:rPr>
          <w:rFonts w:ascii="Times New Roman" w:hAnsi="Times New Roman" w:cs="Times New Roman"/>
          <w:sz w:val="24"/>
          <w:szCs w:val="24"/>
        </w:rPr>
        <w:t>2</w:t>
      </w:r>
      <w:r w:rsidR="00FC3869">
        <w:rPr>
          <w:rFonts w:ascii="Times New Roman" w:hAnsi="Times New Roman" w:cs="Times New Roman"/>
          <w:sz w:val="24"/>
          <w:szCs w:val="24"/>
        </w:rPr>
        <w:t>1</w:t>
      </w:r>
      <w:r>
        <w:rPr>
          <w:rFonts w:ascii="Times New Roman" w:hAnsi="Times New Roman" w:cs="Times New Roman"/>
          <w:sz w:val="24"/>
          <w:szCs w:val="24"/>
        </w:rPr>
        <w:t xml:space="preserve"> г. № </w:t>
      </w:r>
      <w:r w:rsidR="00D44740">
        <w:rPr>
          <w:rFonts w:ascii="Times New Roman" w:hAnsi="Times New Roman" w:cs="Times New Roman"/>
          <w:sz w:val="24"/>
          <w:szCs w:val="24"/>
        </w:rPr>
        <w:t>2 о.д.</w:t>
      </w:r>
      <w:bookmarkStart w:id="0" w:name="_GoBack"/>
      <w:bookmarkEnd w:id="0"/>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FC3869">
        <w:rPr>
          <w:rFonts w:ascii="Times New Roman" w:eastAsia="Calibri" w:hAnsi="Times New Roman" w:cs="Times New Roman"/>
          <w:b/>
          <w:sz w:val="24"/>
          <w:szCs w:val="24"/>
        </w:rPr>
        <w:t>1</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FC3869">
        <w:rPr>
          <w:rFonts w:ascii="Times New Roman" w:eastAsia="Calibri" w:hAnsi="Times New Roman" w:cs="Times New Roman"/>
          <w:b/>
          <w:sz w:val="24"/>
          <w:szCs w:val="24"/>
        </w:rPr>
        <w:t>1</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FC3869">
        <w:rPr>
          <w:rFonts w:ascii="Times New Roman" w:eastAsia="Calibri" w:hAnsi="Times New Roman" w:cs="Times New Roman"/>
          <w:b/>
          <w:sz w:val="24"/>
          <w:szCs w:val="24"/>
        </w:rPr>
        <w:t>1</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FC3869">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FC3869">
              <w:rPr>
                <w:rFonts w:ascii="Times New Roman" w:eastAsia="Calibri" w:hAnsi="Times New Roman" w:cs="Times New Roman"/>
                <w:sz w:val="24"/>
                <w:szCs w:val="24"/>
              </w:rPr>
              <w:t>1</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FC3869">
              <w:rPr>
                <w:rFonts w:ascii="Times New Roman" w:eastAsia="Calibri" w:hAnsi="Times New Roman" w:cs="Times New Roman"/>
                <w:sz w:val="24"/>
                <w:szCs w:val="24"/>
              </w:rPr>
              <w:t>1</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7536095857</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D44740"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A01095" w:rsidRDefault="00FC3869"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января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00 часов 00 минут (время местное)</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A01095" w:rsidRDefault="00CF5345"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FC3869">
              <w:rPr>
                <w:rFonts w:ascii="Times New Roman" w:eastAsia="Times New Roman" w:hAnsi="Times New Roman" w:cs="Times New Roman"/>
                <w:sz w:val="24"/>
                <w:szCs w:val="24"/>
                <w:lang w:eastAsia="ru-RU"/>
              </w:rPr>
              <w:t>февраля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FC3869">
              <w:rPr>
                <w:rFonts w:ascii="Times New Roman" w:eastAsia="Times New Roman" w:hAnsi="Times New Roman" w:cs="Times New Roman"/>
                <w:sz w:val="24"/>
                <w:szCs w:val="24"/>
                <w:lang w:eastAsia="ru-RU"/>
              </w:rPr>
              <w:t>1</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12 часов 00 минут (время местное)</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A01095" w:rsidRDefault="00FC3869" w:rsidP="00FC386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февраля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CF5345">
              <w:rPr>
                <w:rFonts w:ascii="Times New Roman" w:eastAsia="Times New Roman" w:hAnsi="Times New Roman" w:cs="Times New Roman"/>
                <w:sz w:val="24"/>
                <w:szCs w:val="24"/>
                <w:lang w:eastAsia="ru-RU"/>
              </w:rPr>
              <w:t>1</w:t>
            </w:r>
            <w:r w:rsidR="004B3BD5" w:rsidRPr="00A01095">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 xml:space="preserve">ГОСТ 31565-2012 «Кабельные изделия. Требования </w:t>
            </w:r>
            <w:r w:rsidRPr="00845167">
              <w:rPr>
                <w:rFonts w:ascii="Times New Roman" w:hAnsi="Times New Roman" w:cs="Times New Roman"/>
                <w:bCs/>
                <w:sz w:val="24"/>
                <w:szCs w:val="24"/>
              </w:rPr>
              <w:lastRenderedPageBreak/>
              <w:t>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801055">
        <w:rPr>
          <w:rFonts w:ascii="Times New Roman" w:eastAsia="Calibri" w:hAnsi="Times New Roman" w:cs="Times New Roman"/>
          <w:sz w:val="24"/>
          <w:szCs w:val="24"/>
        </w:rPr>
        <w:t>1</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801055">
        <w:rPr>
          <w:rFonts w:ascii="Times New Roman" w:eastAsia="Calibri" w:hAnsi="Times New Roman" w:cs="Times New Roman"/>
          <w:sz w:val="24"/>
          <w:szCs w:val="24"/>
        </w:rPr>
        <w:t>1</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D44740">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22B1C"/>
    <w:rsid w:val="00045657"/>
    <w:rsid w:val="00084608"/>
    <w:rsid w:val="000C08A9"/>
    <w:rsid w:val="000E5BD3"/>
    <w:rsid w:val="000F4F2E"/>
    <w:rsid w:val="00101E64"/>
    <w:rsid w:val="001049A5"/>
    <w:rsid w:val="00107CE4"/>
    <w:rsid w:val="00114AA4"/>
    <w:rsid w:val="00140E7B"/>
    <w:rsid w:val="00156634"/>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62ABF"/>
    <w:rsid w:val="00563925"/>
    <w:rsid w:val="005B705B"/>
    <w:rsid w:val="005C6538"/>
    <w:rsid w:val="005C67DA"/>
    <w:rsid w:val="005F0A9A"/>
    <w:rsid w:val="005F24FC"/>
    <w:rsid w:val="005F4347"/>
    <w:rsid w:val="0060770F"/>
    <w:rsid w:val="00621F89"/>
    <w:rsid w:val="006336F9"/>
    <w:rsid w:val="0064237F"/>
    <w:rsid w:val="006439BE"/>
    <w:rsid w:val="006734FD"/>
    <w:rsid w:val="006765E9"/>
    <w:rsid w:val="0069765F"/>
    <w:rsid w:val="006E4004"/>
    <w:rsid w:val="007211C7"/>
    <w:rsid w:val="00722B5F"/>
    <w:rsid w:val="00757336"/>
    <w:rsid w:val="00785384"/>
    <w:rsid w:val="0078719D"/>
    <w:rsid w:val="00787419"/>
    <w:rsid w:val="007A3F4D"/>
    <w:rsid w:val="007C40A5"/>
    <w:rsid w:val="007C6D1C"/>
    <w:rsid w:val="00801055"/>
    <w:rsid w:val="00801FB8"/>
    <w:rsid w:val="00833E2D"/>
    <w:rsid w:val="00842863"/>
    <w:rsid w:val="00845167"/>
    <w:rsid w:val="008507FE"/>
    <w:rsid w:val="0086039E"/>
    <w:rsid w:val="00882699"/>
    <w:rsid w:val="008C13A1"/>
    <w:rsid w:val="008C16A1"/>
    <w:rsid w:val="008C394B"/>
    <w:rsid w:val="008D1D39"/>
    <w:rsid w:val="008F5AF2"/>
    <w:rsid w:val="008F72AC"/>
    <w:rsid w:val="00905EF9"/>
    <w:rsid w:val="00906849"/>
    <w:rsid w:val="00944919"/>
    <w:rsid w:val="009468EC"/>
    <w:rsid w:val="00951A08"/>
    <w:rsid w:val="009560B2"/>
    <w:rsid w:val="00961052"/>
    <w:rsid w:val="00994731"/>
    <w:rsid w:val="009B5A1B"/>
    <w:rsid w:val="009C577C"/>
    <w:rsid w:val="009E39E4"/>
    <w:rsid w:val="00A01095"/>
    <w:rsid w:val="00A023C2"/>
    <w:rsid w:val="00A043E5"/>
    <w:rsid w:val="00A31415"/>
    <w:rsid w:val="00A45631"/>
    <w:rsid w:val="00A52096"/>
    <w:rsid w:val="00A55075"/>
    <w:rsid w:val="00A555D2"/>
    <w:rsid w:val="00A62539"/>
    <w:rsid w:val="00A842C3"/>
    <w:rsid w:val="00AA454C"/>
    <w:rsid w:val="00AC67F1"/>
    <w:rsid w:val="00AD7A66"/>
    <w:rsid w:val="00AF0924"/>
    <w:rsid w:val="00B51FC8"/>
    <w:rsid w:val="00B848A2"/>
    <w:rsid w:val="00B911D7"/>
    <w:rsid w:val="00BC6A7D"/>
    <w:rsid w:val="00BD18E0"/>
    <w:rsid w:val="00BE352F"/>
    <w:rsid w:val="00C1648E"/>
    <w:rsid w:val="00C33F51"/>
    <w:rsid w:val="00C355D4"/>
    <w:rsid w:val="00C3566D"/>
    <w:rsid w:val="00C41580"/>
    <w:rsid w:val="00C65D6B"/>
    <w:rsid w:val="00C735CC"/>
    <w:rsid w:val="00C863F4"/>
    <w:rsid w:val="00CB7007"/>
    <w:rsid w:val="00CC3369"/>
    <w:rsid w:val="00CE36C1"/>
    <w:rsid w:val="00CF2F77"/>
    <w:rsid w:val="00CF5345"/>
    <w:rsid w:val="00D33D3A"/>
    <w:rsid w:val="00D44740"/>
    <w:rsid w:val="00D46138"/>
    <w:rsid w:val="00D56E19"/>
    <w:rsid w:val="00D6342A"/>
    <w:rsid w:val="00D66C22"/>
    <w:rsid w:val="00D71389"/>
    <w:rsid w:val="00D71FAD"/>
    <w:rsid w:val="00D7418D"/>
    <w:rsid w:val="00D82312"/>
    <w:rsid w:val="00D8306C"/>
    <w:rsid w:val="00D87F98"/>
    <w:rsid w:val="00DC3E34"/>
    <w:rsid w:val="00DC798F"/>
    <w:rsid w:val="00DD695A"/>
    <w:rsid w:val="00E00992"/>
    <w:rsid w:val="00E67C0C"/>
    <w:rsid w:val="00E71507"/>
    <w:rsid w:val="00E77BF6"/>
    <w:rsid w:val="00E92B8D"/>
    <w:rsid w:val="00EC2072"/>
    <w:rsid w:val="00EE76AB"/>
    <w:rsid w:val="00F00658"/>
    <w:rsid w:val="00F00C3E"/>
    <w:rsid w:val="00F060D8"/>
    <w:rsid w:val="00F11655"/>
    <w:rsid w:val="00F21A89"/>
    <w:rsid w:val="00F24B8C"/>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C6342-CF5A-404A-98A5-D8F8792F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8957</Words>
  <Characters>51059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18</cp:revision>
  <cp:lastPrinted>2019-04-09T02:34:00Z</cp:lastPrinted>
  <dcterms:created xsi:type="dcterms:W3CDTF">2019-10-21T02:45:00Z</dcterms:created>
  <dcterms:modified xsi:type="dcterms:W3CDTF">2021-01-12T03:38:00Z</dcterms:modified>
</cp:coreProperties>
</file>