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2E5ECA" w:rsidRDefault="001A5E83" w:rsidP="002E5ECA">
      <w:pPr>
        <w:ind w:firstLine="709"/>
        <w:jc w:val="center"/>
        <w:rPr>
          <w:b/>
          <w:sz w:val="30"/>
          <w:szCs w:val="30"/>
        </w:rPr>
      </w:pPr>
      <w:r w:rsidRPr="002E5ECA">
        <w:rPr>
          <w:b/>
          <w:sz w:val="30"/>
          <w:szCs w:val="30"/>
        </w:rPr>
        <w:t>ОТЧЕТ</w:t>
      </w:r>
      <w:r w:rsidRPr="002E5ECA">
        <w:rPr>
          <w:b/>
          <w:sz w:val="30"/>
          <w:szCs w:val="30"/>
        </w:rPr>
        <w:br/>
        <w:t xml:space="preserve">о деятельности Министерства финансов Забайкальского края </w:t>
      </w:r>
      <w:r w:rsidRPr="002E5ECA">
        <w:rPr>
          <w:b/>
          <w:sz w:val="30"/>
          <w:szCs w:val="30"/>
        </w:rPr>
        <w:br/>
        <w:t xml:space="preserve">за период </w:t>
      </w:r>
      <w:r w:rsidR="0033105D" w:rsidRPr="002E5ECA">
        <w:rPr>
          <w:b/>
          <w:sz w:val="30"/>
          <w:szCs w:val="30"/>
        </w:rPr>
        <w:t xml:space="preserve">с </w:t>
      </w:r>
      <w:r w:rsidR="0042180D" w:rsidRPr="002E5ECA">
        <w:rPr>
          <w:b/>
          <w:sz w:val="30"/>
          <w:szCs w:val="30"/>
        </w:rPr>
        <w:t>31 мая</w:t>
      </w:r>
      <w:r w:rsidR="001D4A08" w:rsidRPr="002E5ECA">
        <w:rPr>
          <w:b/>
          <w:sz w:val="30"/>
          <w:szCs w:val="30"/>
        </w:rPr>
        <w:t xml:space="preserve"> по </w:t>
      </w:r>
      <w:r w:rsidR="0042180D" w:rsidRPr="002E5ECA">
        <w:rPr>
          <w:b/>
          <w:sz w:val="30"/>
          <w:szCs w:val="30"/>
        </w:rPr>
        <w:t>4 июня</w:t>
      </w:r>
      <w:r w:rsidR="00B85ED2" w:rsidRPr="002E5ECA">
        <w:rPr>
          <w:b/>
          <w:sz w:val="30"/>
          <w:szCs w:val="30"/>
        </w:rPr>
        <w:t xml:space="preserve"> </w:t>
      </w:r>
      <w:r w:rsidR="0033105D" w:rsidRPr="002E5ECA">
        <w:rPr>
          <w:b/>
          <w:sz w:val="30"/>
          <w:szCs w:val="30"/>
        </w:rPr>
        <w:t>202</w:t>
      </w:r>
      <w:r w:rsidR="00C340D3" w:rsidRPr="002E5ECA">
        <w:rPr>
          <w:b/>
          <w:sz w:val="30"/>
          <w:szCs w:val="30"/>
        </w:rPr>
        <w:t>1</w:t>
      </w:r>
      <w:r w:rsidR="0033105D" w:rsidRPr="002E5ECA">
        <w:rPr>
          <w:b/>
          <w:sz w:val="30"/>
          <w:szCs w:val="30"/>
        </w:rPr>
        <w:t xml:space="preserve"> года </w:t>
      </w:r>
      <w:r w:rsidRPr="002E5ECA">
        <w:rPr>
          <w:b/>
          <w:sz w:val="30"/>
          <w:szCs w:val="30"/>
        </w:rPr>
        <w:t>и основных задачах</w:t>
      </w:r>
    </w:p>
    <w:p w:rsidR="001A5E83" w:rsidRPr="002E5ECA" w:rsidRDefault="001A5E83" w:rsidP="002E5ECA">
      <w:pPr>
        <w:ind w:firstLine="709"/>
        <w:jc w:val="center"/>
        <w:rPr>
          <w:b/>
          <w:sz w:val="30"/>
          <w:szCs w:val="30"/>
        </w:rPr>
      </w:pPr>
      <w:r w:rsidRPr="002E5ECA">
        <w:rPr>
          <w:b/>
          <w:sz w:val="30"/>
          <w:szCs w:val="30"/>
        </w:rPr>
        <w:t xml:space="preserve">на период </w:t>
      </w:r>
      <w:r w:rsidR="001D4A08" w:rsidRPr="002E5ECA">
        <w:rPr>
          <w:b/>
          <w:sz w:val="30"/>
          <w:szCs w:val="30"/>
        </w:rPr>
        <w:t xml:space="preserve">с </w:t>
      </w:r>
      <w:r w:rsidR="002E5ECA" w:rsidRPr="002E5ECA">
        <w:rPr>
          <w:b/>
          <w:sz w:val="30"/>
          <w:szCs w:val="30"/>
        </w:rPr>
        <w:t>7 по 11</w:t>
      </w:r>
      <w:r w:rsidR="001D4A08" w:rsidRPr="002E5ECA">
        <w:rPr>
          <w:b/>
          <w:sz w:val="30"/>
          <w:szCs w:val="30"/>
        </w:rPr>
        <w:t xml:space="preserve"> июня</w:t>
      </w:r>
      <w:r w:rsidRPr="002E5ECA">
        <w:rPr>
          <w:b/>
          <w:sz w:val="30"/>
          <w:szCs w:val="30"/>
        </w:rPr>
        <w:t xml:space="preserve"> 202</w:t>
      </w:r>
      <w:r w:rsidR="00D1179F" w:rsidRPr="002E5ECA">
        <w:rPr>
          <w:b/>
          <w:sz w:val="30"/>
          <w:szCs w:val="30"/>
        </w:rPr>
        <w:t>1</w:t>
      </w:r>
      <w:r w:rsidRPr="002E5ECA">
        <w:rPr>
          <w:b/>
          <w:sz w:val="30"/>
          <w:szCs w:val="30"/>
        </w:rPr>
        <w:t xml:space="preserve"> года</w:t>
      </w:r>
      <w:r w:rsidR="00D41CAD" w:rsidRPr="002E5ECA">
        <w:rPr>
          <w:b/>
          <w:sz w:val="30"/>
          <w:szCs w:val="30"/>
        </w:rPr>
        <w:t>.</w:t>
      </w:r>
    </w:p>
    <w:p w:rsidR="001A5E83" w:rsidRPr="002E5ECA" w:rsidRDefault="001A5E83" w:rsidP="002E5ECA">
      <w:pPr>
        <w:ind w:firstLine="709"/>
        <w:jc w:val="center"/>
        <w:rPr>
          <w:b/>
          <w:sz w:val="30"/>
          <w:szCs w:val="30"/>
        </w:rPr>
      </w:pPr>
    </w:p>
    <w:p w:rsidR="008A56CA" w:rsidRPr="002E5ECA" w:rsidRDefault="008A56CA" w:rsidP="002E5ECA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b/>
          <w:sz w:val="30"/>
          <w:szCs w:val="30"/>
        </w:rPr>
      </w:pPr>
      <w:r w:rsidRPr="002E5ECA">
        <w:rPr>
          <w:b/>
          <w:sz w:val="30"/>
          <w:szCs w:val="30"/>
        </w:rPr>
        <w:t>по доходам:</w:t>
      </w:r>
    </w:p>
    <w:p w:rsidR="00745FF2" w:rsidRPr="002E5ECA" w:rsidRDefault="00745FF2" w:rsidP="002E5ECA">
      <w:pPr>
        <w:tabs>
          <w:tab w:val="left" w:pos="709"/>
        </w:tabs>
        <w:ind w:firstLine="709"/>
        <w:contextualSpacing/>
        <w:jc w:val="both"/>
        <w:rPr>
          <w:sz w:val="30"/>
          <w:szCs w:val="30"/>
        </w:rPr>
      </w:pP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С начала </w:t>
      </w:r>
      <w:r w:rsidRPr="002E5ECA">
        <w:rPr>
          <w:b/>
          <w:sz w:val="30"/>
          <w:szCs w:val="30"/>
        </w:rPr>
        <w:t>июня</w:t>
      </w:r>
      <w:r w:rsidRPr="002E5ECA">
        <w:rPr>
          <w:sz w:val="30"/>
          <w:szCs w:val="30"/>
        </w:rPr>
        <w:t xml:space="preserve"> исполнено в сумме </w:t>
      </w:r>
      <w:r w:rsidRPr="002E5ECA">
        <w:rPr>
          <w:b/>
          <w:sz w:val="30"/>
          <w:szCs w:val="30"/>
        </w:rPr>
        <w:t xml:space="preserve">4 899,3 </w:t>
      </w:r>
      <w:r w:rsidRPr="002E5ECA">
        <w:rPr>
          <w:sz w:val="30"/>
          <w:szCs w:val="30"/>
        </w:rPr>
        <w:t>млн. рублей (51,3 %  к кассовому плану июня). В том числе:</w:t>
      </w:r>
    </w:p>
    <w:p w:rsidR="00782977" w:rsidRPr="002E5ECA" w:rsidRDefault="00782977" w:rsidP="002E5EC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по налоговым и неналоговым доходам – 220,9 млн. рублей (9,4 %);</w:t>
      </w:r>
    </w:p>
    <w:p w:rsidR="00782977" w:rsidRPr="002E5ECA" w:rsidRDefault="00782977" w:rsidP="002E5EC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дорожный фонд – 9,8 млн. рублей (1,8 %);</w:t>
      </w:r>
    </w:p>
    <w:p w:rsidR="00782977" w:rsidRPr="002E5ECA" w:rsidRDefault="00782977" w:rsidP="002E5EC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- дотация на выравнивание уровня бюджетной обеспеченности – 1 029,4 </w:t>
      </w:r>
    </w:p>
    <w:p w:rsidR="00782977" w:rsidRPr="002E5ECA" w:rsidRDefault="00782977" w:rsidP="002E5EC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млн. рублей (100%);</w:t>
      </w:r>
    </w:p>
    <w:p w:rsidR="00782977" w:rsidRPr="002E5ECA" w:rsidRDefault="00782977" w:rsidP="002E5EC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средства федерального бюджета и прочие целевые поступления – 245,7 млн. руб. (11,1 %);</w:t>
      </w:r>
    </w:p>
    <w:p w:rsidR="00782977" w:rsidRPr="002E5ECA" w:rsidRDefault="00782977" w:rsidP="002E5EC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привлечение бюджетных кредитов (из УФК по Забайкальскому краю) – 3 393,5 млн. руб. (102,8 %).</w:t>
      </w:r>
    </w:p>
    <w:p w:rsidR="00745FF2" w:rsidRPr="002E5ECA" w:rsidRDefault="00745FF2" w:rsidP="002E5ECA">
      <w:pPr>
        <w:tabs>
          <w:tab w:val="left" w:pos="709"/>
        </w:tabs>
        <w:ind w:firstLine="709"/>
        <w:contextualSpacing/>
        <w:jc w:val="both"/>
        <w:rPr>
          <w:sz w:val="30"/>
          <w:szCs w:val="30"/>
        </w:rPr>
      </w:pPr>
    </w:p>
    <w:p w:rsidR="00745FF2" w:rsidRPr="002E5ECA" w:rsidRDefault="00745FF2" w:rsidP="002E5ECA">
      <w:pPr>
        <w:tabs>
          <w:tab w:val="left" w:pos="709"/>
        </w:tabs>
        <w:ind w:firstLine="709"/>
        <w:contextualSpacing/>
        <w:jc w:val="both"/>
        <w:rPr>
          <w:b/>
          <w:sz w:val="30"/>
          <w:szCs w:val="30"/>
        </w:rPr>
      </w:pPr>
      <w:r w:rsidRPr="002E5ECA">
        <w:rPr>
          <w:b/>
          <w:sz w:val="30"/>
          <w:szCs w:val="30"/>
        </w:rPr>
        <w:t>2. по расходам:</w:t>
      </w:r>
    </w:p>
    <w:p w:rsidR="00745FF2" w:rsidRPr="002E5ECA" w:rsidRDefault="00745FF2" w:rsidP="002E5ECA">
      <w:pPr>
        <w:tabs>
          <w:tab w:val="left" w:pos="709"/>
        </w:tabs>
        <w:ind w:firstLine="709"/>
        <w:contextualSpacing/>
        <w:jc w:val="both"/>
        <w:rPr>
          <w:sz w:val="30"/>
          <w:szCs w:val="30"/>
        </w:rPr>
      </w:pP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Финансирование  с начала  </w:t>
      </w:r>
      <w:r w:rsidRPr="002E5ECA">
        <w:rPr>
          <w:b/>
          <w:sz w:val="30"/>
          <w:szCs w:val="30"/>
        </w:rPr>
        <w:t>июня</w:t>
      </w:r>
      <w:r w:rsidRPr="002E5ECA">
        <w:rPr>
          <w:sz w:val="30"/>
          <w:szCs w:val="30"/>
        </w:rPr>
        <w:t xml:space="preserve"> осуществлено на общую сумму </w:t>
      </w:r>
      <w:r w:rsidRPr="002E5ECA">
        <w:rPr>
          <w:b/>
          <w:sz w:val="30"/>
          <w:szCs w:val="30"/>
        </w:rPr>
        <w:t>3</w:t>
      </w:r>
      <w:r w:rsidRPr="002E5ECA">
        <w:rPr>
          <w:b/>
          <w:sz w:val="30"/>
          <w:szCs w:val="30"/>
          <w:lang w:val="en-US"/>
        </w:rPr>
        <w:t> </w:t>
      </w:r>
      <w:r w:rsidRPr="002E5ECA">
        <w:rPr>
          <w:b/>
          <w:sz w:val="30"/>
          <w:szCs w:val="30"/>
        </w:rPr>
        <w:t xml:space="preserve">481,4 </w:t>
      </w:r>
      <w:r w:rsidRPr="002E5ECA">
        <w:rPr>
          <w:sz w:val="30"/>
          <w:szCs w:val="30"/>
        </w:rPr>
        <w:t>млн. рублей (38,5 % к кассовому плану июня), в том числе: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заработная плата за 2-ую половину мая, отпускные, выплаты компенсаций, пособий для краевых учреждений – 747,6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субвенция на общее и дошкольное образование за 2-ую половину мая – 1 024,3 млн. рублей (в т.ч. 379,3 млн. рублей – отпускные);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коммунальные услуги – 0,7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софинансирование – 15,1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дорожный фонд – 8,0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- расходы на обслуживание </w:t>
      </w:r>
      <w:proofErr w:type="spellStart"/>
      <w:proofErr w:type="gramStart"/>
      <w:r w:rsidRPr="002E5ECA">
        <w:rPr>
          <w:sz w:val="30"/>
          <w:szCs w:val="30"/>
        </w:rPr>
        <w:t>гос</w:t>
      </w:r>
      <w:proofErr w:type="spellEnd"/>
      <w:r w:rsidRPr="002E5ECA">
        <w:rPr>
          <w:sz w:val="30"/>
          <w:szCs w:val="30"/>
        </w:rPr>
        <w:t>. долга</w:t>
      </w:r>
      <w:proofErr w:type="gramEnd"/>
      <w:r w:rsidRPr="002E5ECA">
        <w:rPr>
          <w:sz w:val="30"/>
          <w:szCs w:val="30"/>
        </w:rPr>
        <w:t xml:space="preserve"> – 19,8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 нормативно-публичные обязательства – 19,8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летняя оздоровительная кампания – 31,8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погашение кредитов коммерческим организациям – 117,2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 прочие расходы – 6,6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финансовая помощь МР (ГО) – 138,5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прочие межбюджетные трансферты – 29,1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за счет средств федерального бюджета и прочих целевых поступлений –885,5 млн. рублей (в т.ч. 576,0 млн. рублей - соц</w:t>
      </w:r>
      <w:proofErr w:type="gramStart"/>
      <w:r w:rsidRPr="002E5ECA">
        <w:rPr>
          <w:sz w:val="30"/>
          <w:szCs w:val="30"/>
        </w:rPr>
        <w:t>.в</w:t>
      </w:r>
      <w:proofErr w:type="gramEnd"/>
      <w:r w:rsidRPr="002E5ECA">
        <w:rPr>
          <w:sz w:val="30"/>
          <w:szCs w:val="30"/>
        </w:rPr>
        <w:t>ыплаты).</w:t>
      </w:r>
    </w:p>
    <w:p w:rsidR="00782977" w:rsidRPr="002E5ECA" w:rsidRDefault="00782977" w:rsidP="002E5ECA">
      <w:pPr>
        <w:tabs>
          <w:tab w:val="left" w:pos="709"/>
        </w:tabs>
        <w:jc w:val="both"/>
        <w:rPr>
          <w:sz w:val="30"/>
          <w:szCs w:val="30"/>
        </w:rPr>
      </w:pPr>
    </w:p>
    <w:p w:rsidR="00782977" w:rsidRPr="002E5ECA" w:rsidRDefault="002E5ECA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 w:rsidR="00782977" w:rsidRPr="002E5ECA">
        <w:rPr>
          <w:sz w:val="30"/>
          <w:szCs w:val="30"/>
        </w:rPr>
        <w:t>На реализацию региональных проектов с начала года профинансировано – 3 378,7 млн. рублей (из них 2 179,9 млн. рублей -  федеральные средства), или 22 % к годовому плану, в том числе: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за </w:t>
      </w:r>
      <w:r w:rsidRPr="002E5ECA">
        <w:rPr>
          <w:b/>
          <w:sz w:val="30"/>
          <w:szCs w:val="30"/>
        </w:rPr>
        <w:t xml:space="preserve">июнь </w:t>
      </w:r>
      <w:r w:rsidRPr="002E5ECA">
        <w:rPr>
          <w:sz w:val="30"/>
          <w:szCs w:val="30"/>
        </w:rPr>
        <w:t>– 382,9 млн. рублей, или 23,5% к кассовому плану июня, из них: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за счет краевого бюджета – 61,2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за счет федерального бюджета – 321,7 млн. рублей.</w:t>
      </w:r>
    </w:p>
    <w:p w:rsidR="00782977" w:rsidRPr="002E5ECA" w:rsidRDefault="002E5ECA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* </w:t>
      </w:r>
      <w:r w:rsidR="00782977" w:rsidRPr="002E5ECA">
        <w:rPr>
          <w:sz w:val="30"/>
          <w:szCs w:val="30"/>
        </w:rPr>
        <w:t xml:space="preserve">На реализацию мероприятий по социальному развитию центров экономического роста с начала года профинансировано – 809,9 млн. рублей (из них 804,0 млн. рублей -  федеральные средства), </w:t>
      </w:r>
      <w:r>
        <w:rPr>
          <w:sz w:val="30"/>
          <w:szCs w:val="30"/>
        </w:rPr>
        <w:t xml:space="preserve"> или 22,4 % к годовому плану.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за </w:t>
      </w:r>
      <w:r w:rsidRPr="002E5ECA">
        <w:rPr>
          <w:b/>
          <w:sz w:val="30"/>
          <w:szCs w:val="30"/>
        </w:rPr>
        <w:t xml:space="preserve">июнь </w:t>
      </w:r>
      <w:r w:rsidRPr="002E5ECA">
        <w:rPr>
          <w:sz w:val="30"/>
          <w:szCs w:val="30"/>
        </w:rPr>
        <w:t>– 54,6 млн. рублей, или 24,5 % к кассовому плану июня, из них: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за счет краевого бюджета – 0,4 млн. рублей;</w:t>
      </w: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- за счет федерального бюджета – 54,2 млн. рублей.</w:t>
      </w:r>
    </w:p>
    <w:p w:rsidR="002E5ECA" w:rsidRPr="002E5ECA" w:rsidRDefault="002E5ECA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782977" w:rsidRPr="002E5ECA" w:rsidRDefault="00782977" w:rsidP="002E5E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Остаток к распределению по резервным фондам: </w:t>
      </w:r>
    </w:p>
    <w:p w:rsidR="00782977" w:rsidRPr="002E5ECA" w:rsidRDefault="00782977" w:rsidP="002E5ECA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2E5ECA">
        <w:rPr>
          <w:sz w:val="30"/>
          <w:szCs w:val="30"/>
        </w:rPr>
        <w:t>Резервный фонд Забайкальского края – 108,5 млн. рублей;</w:t>
      </w:r>
    </w:p>
    <w:p w:rsidR="00782977" w:rsidRPr="002E5ECA" w:rsidRDefault="00782977" w:rsidP="002E5ECA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2E5ECA">
        <w:rPr>
          <w:sz w:val="30"/>
          <w:szCs w:val="30"/>
        </w:rPr>
        <w:t>Резервный фонд Правительства Забайкальского края – 47,0 млн. рублей.</w:t>
      </w:r>
    </w:p>
    <w:p w:rsidR="00D34936" w:rsidRPr="002E5ECA" w:rsidRDefault="001A5E83" w:rsidP="002E5ECA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2E5ECA">
        <w:rPr>
          <w:sz w:val="30"/>
          <w:szCs w:val="30"/>
        </w:rPr>
        <w:t xml:space="preserve">По состоянию на </w:t>
      </w:r>
      <w:r w:rsidR="00782977" w:rsidRPr="002E5ECA">
        <w:rPr>
          <w:sz w:val="30"/>
          <w:szCs w:val="30"/>
        </w:rPr>
        <w:t>7 июня</w:t>
      </w:r>
      <w:r w:rsidR="00991601" w:rsidRPr="002E5ECA">
        <w:rPr>
          <w:sz w:val="30"/>
          <w:szCs w:val="30"/>
        </w:rPr>
        <w:t xml:space="preserve"> 2021</w:t>
      </w:r>
      <w:r w:rsidRPr="002E5ECA">
        <w:rPr>
          <w:sz w:val="30"/>
          <w:szCs w:val="30"/>
        </w:rPr>
        <w:t xml:space="preserve"> года остаток </w:t>
      </w:r>
      <w:r w:rsidRPr="002E5ECA">
        <w:rPr>
          <w:rFonts w:eastAsiaTheme="minorHAnsi"/>
          <w:sz w:val="30"/>
          <w:szCs w:val="30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2E5ECA">
        <w:rPr>
          <w:sz w:val="30"/>
          <w:szCs w:val="30"/>
        </w:rPr>
        <w:t xml:space="preserve">составляет </w:t>
      </w:r>
      <w:r w:rsidR="00CD369C" w:rsidRPr="002E5ECA">
        <w:rPr>
          <w:sz w:val="30"/>
          <w:szCs w:val="30"/>
        </w:rPr>
        <w:t>–</w:t>
      </w:r>
      <w:r w:rsidR="00B30FA4" w:rsidRPr="002E5ECA">
        <w:rPr>
          <w:sz w:val="30"/>
          <w:szCs w:val="30"/>
        </w:rPr>
        <w:t xml:space="preserve"> </w:t>
      </w:r>
      <w:r w:rsidR="002964FE" w:rsidRPr="002E5ECA">
        <w:rPr>
          <w:sz w:val="30"/>
          <w:szCs w:val="30"/>
        </w:rPr>
        <w:t xml:space="preserve">5 263,6 </w:t>
      </w:r>
      <w:proofErr w:type="spellStart"/>
      <w:proofErr w:type="gramStart"/>
      <w:r w:rsidR="00C33276" w:rsidRPr="002E5ECA">
        <w:rPr>
          <w:sz w:val="30"/>
          <w:szCs w:val="30"/>
        </w:rPr>
        <w:t>млн</w:t>
      </w:r>
      <w:proofErr w:type="spellEnd"/>
      <w:proofErr w:type="gramEnd"/>
      <w:r w:rsidRPr="002E5ECA">
        <w:rPr>
          <w:sz w:val="30"/>
          <w:szCs w:val="30"/>
        </w:rPr>
        <w:t xml:space="preserve"> рублей</w:t>
      </w:r>
      <w:r w:rsidR="002964FE" w:rsidRPr="002E5ECA">
        <w:rPr>
          <w:sz w:val="30"/>
          <w:szCs w:val="30"/>
        </w:rPr>
        <w:t>)</w:t>
      </w:r>
      <w:r w:rsidR="008A56CA" w:rsidRPr="002E5ECA">
        <w:rPr>
          <w:sz w:val="30"/>
          <w:szCs w:val="30"/>
        </w:rPr>
        <w:t>.</w:t>
      </w:r>
    </w:p>
    <w:p w:rsidR="009B3AEF" w:rsidRPr="002E5ECA" w:rsidRDefault="009B3AEF" w:rsidP="002E5ECA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</w:p>
    <w:p w:rsidR="001A5E83" w:rsidRPr="002E5ECA" w:rsidRDefault="001A5E83" w:rsidP="002E5ECA">
      <w:pPr>
        <w:tabs>
          <w:tab w:val="left" w:pos="0"/>
        </w:tabs>
        <w:ind w:firstLine="709"/>
        <w:contextualSpacing/>
        <w:jc w:val="both"/>
        <w:rPr>
          <w:b/>
          <w:sz w:val="30"/>
          <w:szCs w:val="30"/>
        </w:rPr>
      </w:pPr>
      <w:r w:rsidRPr="002E5ECA">
        <w:rPr>
          <w:b/>
          <w:sz w:val="30"/>
          <w:szCs w:val="30"/>
        </w:rPr>
        <w:t>Кроме того:</w:t>
      </w:r>
    </w:p>
    <w:p w:rsidR="00782977" w:rsidRPr="002E5ECA" w:rsidRDefault="00782977" w:rsidP="002E5ECA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bookmarkStart w:id="0" w:name="_Hlk63934162"/>
      <w:r w:rsidRPr="002E5ECA">
        <w:rPr>
          <w:sz w:val="30"/>
          <w:szCs w:val="30"/>
        </w:rPr>
        <w:t xml:space="preserve">По состоянию </w:t>
      </w:r>
      <w:r w:rsidRPr="002E5ECA">
        <w:rPr>
          <w:b/>
          <w:sz w:val="30"/>
          <w:szCs w:val="30"/>
        </w:rPr>
        <w:t>на 03 июня 2021 года</w:t>
      </w:r>
      <w:r w:rsidRPr="002E5ECA">
        <w:rPr>
          <w:sz w:val="30"/>
          <w:szCs w:val="30"/>
        </w:rPr>
        <w:t xml:space="preserve"> в рамках осуществления мероприятий по реализации </w:t>
      </w:r>
      <w:proofErr w:type="gramStart"/>
      <w:r w:rsidRPr="002E5ECA">
        <w:rPr>
          <w:sz w:val="30"/>
          <w:szCs w:val="30"/>
        </w:rPr>
        <w:t>Плана социального развития центров экономического роста Забайкальского края</w:t>
      </w:r>
      <w:proofErr w:type="gramEnd"/>
      <w:r w:rsidRPr="002E5ECA">
        <w:rPr>
          <w:sz w:val="30"/>
          <w:szCs w:val="30"/>
        </w:rPr>
        <w:t xml:space="preserve"> в Единую информационную систему в планы-графики внесено</w:t>
      </w:r>
      <w:r w:rsidRPr="002E5ECA">
        <w:rPr>
          <w:b/>
          <w:sz w:val="30"/>
          <w:szCs w:val="30"/>
        </w:rPr>
        <w:t xml:space="preserve"> </w:t>
      </w:r>
      <w:r w:rsidRPr="002E5ECA">
        <w:rPr>
          <w:sz w:val="30"/>
          <w:szCs w:val="30"/>
        </w:rPr>
        <w:t xml:space="preserve">335 закупок на общую сумму 3,1 млрд. рублей (87,0% от суммы бюджетных ассигнований). Опубликовано 303 извещения на сумму 3,0 млрд. рублей (83,3% от суммы бюджетных ассигнований). Заключен 271 контракт на сумму 2,2 млрд. рублей (62,2% от суммы бюджетных ассигнований). </w:t>
      </w:r>
      <w:bookmarkStart w:id="1" w:name="_GoBack"/>
      <w:bookmarkEnd w:id="1"/>
      <w:bookmarkEnd w:id="0"/>
    </w:p>
    <w:p w:rsidR="00782977" w:rsidRPr="002E5ECA" w:rsidRDefault="00782977" w:rsidP="002E5ECA">
      <w:pPr>
        <w:pStyle w:val="a3"/>
        <w:numPr>
          <w:ilvl w:val="0"/>
          <w:numId w:val="3"/>
        </w:numPr>
        <w:ind w:left="0" w:firstLine="709"/>
        <w:jc w:val="both"/>
        <w:rPr>
          <w:b/>
          <w:sz w:val="30"/>
          <w:szCs w:val="30"/>
        </w:rPr>
      </w:pPr>
      <w:r w:rsidRPr="002E5ECA">
        <w:rPr>
          <w:sz w:val="30"/>
          <w:szCs w:val="30"/>
        </w:rPr>
        <w:t xml:space="preserve">По состоянию </w:t>
      </w:r>
      <w:r w:rsidRPr="002E5ECA">
        <w:rPr>
          <w:b/>
          <w:sz w:val="30"/>
          <w:szCs w:val="30"/>
        </w:rPr>
        <w:t>на 4 июня 2021 года</w:t>
      </w:r>
      <w:r w:rsidRPr="002E5ECA">
        <w:rPr>
          <w:sz w:val="30"/>
          <w:szCs w:val="30"/>
        </w:rPr>
        <w:t xml:space="preserve"> в рамках осуществления мероприятий по реализации национальных проектов в планы-графики закупок учреждений внесено 349 закупок на сумму 11 095,1 млн. рублей, или 83,9 % от суммы ассигнований. Заключено 273 контракта на сумму 9 071,6 млн. рублей, или 68,6 % от суммы ассигнований. Сумма экономии по результатам проведения процедур закупок сложилась в размере 544,7 млн. рублей, или 4,1 %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782977" w:rsidRPr="002E5ECA" w:rsidRDefault="00782977" w:rsidP="002E5ECA">
      <w:pPr>
        <w:pStyle w:val="a3"/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1. Минстрой – объявлено 95 закупок из 101 запланированных в планах-графиках, заключено 55 контрактов на сумму 6 852,5 млн. рублей;</w:t>
      </w:r>
    </w:p>
    <w:p w:rsidR="00782977" w:rsidRPr="002E5ECA" w:rsidRDefault="00782977" w:rsidP="002E5ECA">
      <w:pPr>
        <w:pStyle w:val="a3"/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lastRenderedPageBreak/>
        <w:t>2. Минздрав – объявлено 57 закупок из 115 запланированных в планах-графиках, заключено 44 контракта на сумму 503,4 млн. рублей;</w:t>
      </w:r>
    </w:p>
    <w:p w:rsidR="00782977" w:rsidRPr="002E5ECA" w:rsidRDefault="00782977" w:rsidP="002E5ECA">
      <w:pPr>
        <w:pStyle w:val="a3"/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3. </w:t>
      </w:r>
      <w:proofErr w:type="spellStart"/>
      <w:r w:rsidRPr="002E5ECA">
        <w:rPr>
          <w:sz w:val="30"/>
          <w:szCs w:val="30"/>
        </w:rPr>
        <w:t>Минобр</w:t>
      </w:r>
      <w:proofErr w:type="spellEnd"/>
      <w:r w:rsidRPr="002E5ECA">
        <w:rPr>
          <w:sz w:val="30"/>
          <w:szCs w:val="30"/>
        </w:rPr>
        <w:t xml:space="preserve"> – объявлено 51 закупка из 53 запланированных в планах-графиках, заключено 39 контрактов на сумму 617,7 млн. рублей.</w:t>
      </w:r>
    </w:p>
    <w:p w:rsidR="00782977" w:rsidRPr="002E5ECA" w:rsidRDefault="00782977" w:rsidP="002E5ECA">
      <w:pPr>
        <w:pStyle w:val="a3"/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4. </w:t>
      </w:r>
      <w:proofErr w:type="spellStart"/>
      <w:r w:rsidRPr="002E5ECA">
        <w:rPr>
          <w:sz w:val="30"/>
          <w:szCs w:val="30"/>
        </w:rPr>
        <w:t>МинЖКХ</w:t>
      </w:r>
      <w:proofErr w:type="spellEnd"/>
      <w:r w:rsidRPr="002E5ECA">
        <w:rPr>
          <w:sz w:val="30"/>
          <w:szCs w:val="30"/>
        </w:rPr>
        <w:t xml:space="preserve"> – объявлено 61 закупка из 62 запланированных в планах-графиках, заключен 61 контракт на сумму 594,7 млн. рублей;</w:t>
      </w:r>
    </w:p>
    <w:p w:rsidR="00782977" w:rsidRPr="002E5ECA" w:rsidRDefault="00782977" w:rsidP="002E5ECA">
      <w:pPr>
        <w:pStyle w:val="a3"/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5. </w:t>
      </w:r>
      <w:proofErr w:type="spellStart"/>
      <w:r w:rsidRPr="002E5ECA">
        <w:rPr>
          <w:sz w:val="30"/>
          <w:szCs w:val="30"/>
        </w:rPr>
        <w:t>Минкульт</w:t>
      </w:r>
      <w:proofErr w:type="spellEnd"/>
      <w:r w:rsidRPr="002E5ECA">
        <w:rPr>
          <w:sz w:val="30"/>
          <w:szCs w:val="30"/>
        </w:rPr>
        <w:t xml:space="preserve"> – объявлено 24 закупки из 25 запланированных в планах-графиках, заключено 18 контрактов на сумму 123,9 млн. рублей;</w:t>
      </w:r>
    </w:p>
    <w:p w:rsidR="00782977" w:rsidRPr="002E5ECA" w:rsidRDefault="00782977" w:rsidP="002E5ECA">
      <w:pPr>
        <w:pStyle w:val="a3"/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6. Минприроды – объявлено 49 закупок из 49 запланированных в планах-графиках, заключено 46 контрактов на сумму 281,6 млн. рублей;</w:t>
      </w:r>
    </w:p>
    <w:p w:rsidR="00782977" w:rsidRPr="002E5ECA" w:rsidRDefault="00782977" w:rsidP="002E5ECA">
      <w:pPr>
        <w:pStyle w:val="a3"/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7. </w:t>
      </w:r>
      <w:proofErr w:type="spellStart"/>
      <w:r w:rsidRPr="002E5ECA">
        <w:rPr>
          <w:sz w:val="30"/>
          <w:szCs w:val="30"/>
        </w:rPr>
        <w:t>Минспорт</w:t>
      </w:r>
      <w:proofErr w:type="spellEnd"/>
      <w:r w:rsidRPr="002E5ECA">
        <w:rPr>
          <w:sz w:val="30"/>
          <w:szCs w:val="30"/>
        </w:rPr>
        <w:t xml:space="preserve"> – объявлено 3 закупки из 5 запланированных в планах-графиках, заключено 3 контракта на сумму 76,3 млн. рублей;</w:t>
      </w:r>
    </w:p>
    <w:p w:rsidR="00782977" w:rsidRPr="002E5ECA" w:rsidRDefault="00782977" w:rsidP="002E5ECA">
      <w:pPr>
        <w:pStyle w:val="a3"/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8. </w:t>
      </w:r>
      <w:proofErr w:type="spellStart"/>
      <w:r w:rsidRPr="002E5ECA">
        <w:rPr>
          <w:sz w:val="30"/>
          <w:szCs w:val="30"/>
        </w:rPr>
        <w:t>Депмировых</w:t>
      </w:r>
      <w:proofErr w:type="spellEnd"/>
      <w:r w:rsidRPr="002E5ECA">
        <w:rPr>
          <w:sz w:val="30"/>
          <w:szCs w:val="30"/>
        </w:rPr>
        <w:t xml:space="preserve"> судей – объявлено 2 закупки из 3 запланированных в планах-графиках, заключен 1 контракт на сумму 16,4 млн. рублей;</w:t>
      </w:r>
    </w:p>
    <w:p w:rsidR="00782977" w:rsidRPr="002E5ECA" w:rsidRDefault="00782977" w:rsidP="002E5ECA">
      <w:pPr>
        <w:pStyle w:val="a3"/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9. АБО – объявлено 7 закупок из 7 запланированных в планах-графиках, заключено 6 контрактов на сумму 5,1 млн. рублей.</w:t>
      </w:r>
    </w:p>
    <w:p w:rsidR="00782977" w:rsidRPr="002E5ECA" w:rsidRDefault="0042180D" w:rsidP="002E5ECA">
      <w:pPr>
        <w:pStyle w:val="a3"/>
        <w:numPr>
          <w:ilvl w:val="0"/>
          <w:numId w:val="19"/>
        </w:numPr>
        <w:ind w:left="0"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>Минтруд</w:t>
      </w:r>
      <w:r w:rsidR="00782977" w:rsidRPr="002E5ECA">
        <w:rPr>
          <w:sz w:val="30"/>
          <w:szCs w:val="30"/>
        </w:rPr>
        <w:t xml:space="preserve">, </w:t>
      </w:r>
      <w:proofErr w:type="spellStart"/>
      <w:r w:rsidRPr="002E5ECA">
        <w:rPr>
          <w:sz w:val="30"/>
          <w:szCs w:val="30"/>
        </w:rPr>
        <w:t>Минэк</w:t>
      </w:r>
      <w:proofErr w:type="spellEnd"/>
      <w:r w:rsidR="00782977" w:rsidRPr="002E5ECA">
        <w:rPr>
          <w:sz w:val="30"/>
          <w:szCs w:val="30"/>
        </w:rPr>
        <w:t xml:space="preserve">, </w:t>
      </w:r>
      <w:proofErr w:type="spellStart"/>
      <w:r w:rsidRPr="002E5ECA">
        <w:rPr>
          <w:sz w:val="30"/>
          <w:szCs w:val="30"/>
        </w:rPr>
        <w:t>МинСХ</w:t>
      </w:r>
      <w:proofErr w:type="spellEnd"/>
      <w:r w:rsidR="00782977" w:rsidRPr="002E5ECA">
        <w:rPr>
          <w:sz w:val="30"/>
          <w:szCs w:val="30"/>
        </w:rPr>
        <w:t xml:space="preserve">, </w:t>
      </w:r>
      <w:r w:rsidRPr="002E5ECA">
        <w:rPr>
          <w:sz w:val="30"/>
          <w:szCs w:val="30"/>
        </w:rPr>
        <w:t>АГЗК -</w:t>
      </w:r>
      <w:r w:rsidR="00782977" w:rsidRPr="002E5ECA">
        <w:rPr>
          <w:sz w:val="30"/>
          <w:szCs w:val="30"/>
        </w:rPr>
        <w:t xml:space="preserve"> закупки в планах-графиках не планировались, контракты не заключались.</w:t>
      </w:r>
    </w:p>
    <w:p w:rsidR="0042180D" w:rsidRPr="002E5ECA" w:rsidRDefault="00745FF2" w:rsidP="002E5ECA">
      <w:pPr>
        <w:pStyle w:val="ConsPlusNormal"/>
        <w:tabs>
          <w:tab w:val="left" w:pos="958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5ECA">
        <w:rPr>
          <w:rFonts w:ascii="Times New Roman" w:hAnsi="Times New Roman" w:cs="Times New Roman"/>
          <w:b/>
          <w:sz w:val="30"/>
          <w:szCs w:val="30"/>
        </w:rPr>
        <w:t>3.</w:t>
      </w:r>
      <w:r w:rsidR="00044852" w:rsidRPr="002E5EC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2180D" w:rsidRPr="002E5ECA">
        <w:rPr>
          <w:rFonts w:ascii="Times New Roman" w:hAnsi="Times New Roman" w:cs="Times New Roman"/>
          <w:sz w:val="30"/>
          <w:szCs w:val="30"/>
        </w:rPr>
        <w:t xml:space="preserve">На </w:t>
      </w:r>
      <w:r w:rsidR="0042180D" w:rsidRPr="002E5ECA">
        <w:rPr>
          <w:rFonts w:ascii="Times New Roman" w:hAnsi="Times New Roman" w:cs="Times New Roman"/>
          <w:b/>
          <w:sz w:val="30"/>
          <w:szCs w:val="30"/>
        </w:rPr>
        <w:t>03 июня  2021 года</w:t>
      </w:r>
      <w:r w:rsidR="0042180D" w:rsidRPr="002E5ECA">
        <w:rPr>
          <w:rFonts w:ascii="Times New Roman" w:hAnsi="Times New Roman" w:cs="Times New Roman"/>
          <w:sz w:val="30"/>
          <w:szCs w:val="30"/>
        </w:rPr>
        <w:t xml:space="preserve"> заблокировано 6  учреждений на сумму 14 295,10 тыс. рублей, из них 2 учреждения Забайкальского района (МУ «</w:t>
      </w:r>
      <w:proofErr w:type="spellStart"/>
      <w:r w:rsidR="0042180D" w:rsidRPr="002E5ECA">
        <w:rPr>
          <w:rFonts w:ascii="Times New Roman" w:hAnsi="Times New Roman" w:cs="Times New Roman"/>
          <w:sz w:val="30"/>
          <w:szCs w:val="30"/>
        </w:rPr>
        <w:t>Спортсервис</w:t>
      </w:r>
      <w:proofErr w:type="spellEnd"/>
      <w:r w:rsidR="0042180D" w:rsidRPr="002E5ECA">
        <w:rPr>
          <w:rFonts w:ascii="Times New Roman" w:hAnsi="Times New Roman" w:cs="Times New Roman"/>
          <w:sz w:val="30"/>
          <w:szCs w:val="30"/>
        </w:rPr>
        <w:t xml:space="preserve">» 4 452,6  тыс. рублей, МАНУ «Благоустройство» 6 344,5 тыс. рублей), 2 учреждения </w:t>
      </w:r>
      <w:proofErr w:type="spellStart"/>
      <w:r w:rsidR="0042180D" w:rsidRPr="002E5ECA">
        <w:rPr>
          <w:rFonts w:ascii="Times New Roman" w:hAnsi="Times New Roman" w:cs="Times New Roman"/>
          <w:sz w:val="30"/>
          <w:szCs w:val="30"/>
        </w:rPr>
        <w:t>Оловяннинского</w:t>
      </w:r>
      <w:proofErr w:type="spellEnd"/>
      <w:r w:rsidR="0042180D" w:rsidRPr="002E5ECA">
        <w:rPr>
          <w:rFonts w:ascii="Times New Roman" w:hAnsi="Times New Roman" w:cs="Times New Roman"/>
          <w:sz w:val="30"/>
          <w:szCs w:val="30"/>
        </w:rPr>
        <w:t xml:space="preserve"> района (Администрация ГП «</w:t>
      </w:r>
      <w:proofErr w:type="spellStart"/>
      <w:r w:rsidR="0042180D" w:rsidRPr="002E5ECA">
        <w:rPr>
          <w:rFonts w:ascii="Times New Roman" w:hAnsi="Times New Roman" w:cs="Times New Roman"/>
          <w:sz w:val="30"/>
          <w:szCs w:val="30"/>
        </w:rPr>
        <w:t>Золотореченское</w:t>
      </w:r>
      <w:proofErr w:type="spellEnd"/>
      <w:r w:rsidR="0042180D" w:rsidRPr="002E5ECA">
        <w:rPr>
          <w:rFonts w:ascii="Times New Roman" w:hAnsi="Times New Roman" w:cs="Times New Roman"/>
          <w:sz w:val="30"/>
          <w:szCs w:val="30"/>
        </w:rPr>
        <w:t>» 3018,6 тыс. рублей, Администрация ГП «</w:t>
      </w:r>
      <w:proofErr w:type="spellStart"/>
      <w:r w:rsidR="0042180D" w:rsidRPr="002E5ECA">
        <w:rPr>
          <w:rFonts w:ascii="Times New Roman" w:hAnsi="Times New Roman" w:cs="Times New Roman"/>
          <w:sz w:val="30"/>
          <w:szCs w:val="30"/>
        </w:rPr>
        <w:t>Калангуйское</w:t>
      </w:r>
      <w:proofErr w:type="spellEnd"/>
      <w:r w:rsidR="0042180D" w:rsidRPr="002E5ECA">
        <w:rPr>
          <w:rFonts w:ascii="Times New Roman" w:hAnsi="Times New Roman" w:cs="Times New Roman"/>
          <w:sz w:val="30"/>
          <w:szCs w:val="30"/>
        </w:rPr>
        <w:t xml:space="preserve">» 201,3 тыс. рублей), 1 учреждение </w:t>
      </w:r>
      <w:proofErr w:type="spellStart"/>
      <w:r w:rsidR="0042180D" w:rsidRPr="002E5ECA">
        <w:rPr>
          <w:rFonts w:ascii="Times New Roman" w:hAnsi="Times New Roman" w:cs="Times New Roman"/>
          <w:sz w:val="30"/>
          <w:szCs w:val="30"/>
        </w:rPr>
        <w:t>Нерчинско-Заводского</w:t>
      </w:r>
      <w:proofErr w:type="spellEnd"/>
      <w:r w:rsidR="0042180D" w:rsidRPr="002E5ECA">
        <w:rPr>
          <w:rFonts w:ascii="Times New Roman" w:hAnsi="Times New Roman" w:cs="Times New Roman"/>
          <w:sz w:val="30"/>
          <w:szCs w:val="30"/>
        </w:rPr>
        <w:t xml:space="preserve"> района (МОУ </w:t>
      </w:r>
      <w:proofErr w:type="spellStart"/>
      <w:r w:rsidR="0042180D" w:rsidRPr="002E5ECA">
        <w:rPr>
          <w:rFonts w:ascii="Times New Roman" w:hAnsi="Times New Roman" w:cs="Times New Roman"/>
          <w:sz w:val="30"/>
          <w:szCs w:val="30"/>
        </w:rPr>
        <w:t>Олочинская</w:t>
      </w:r>
      <w:proofErr w:type="spellEnd"/>
      <w:r w:rsidR="0042180D" w:rsidRPr="002E5ECA">
        <w:rPr>
          <w:rFonts w:ascii="Times New Roman" w:hAnsi="Times New Roman" w:cs="Times New Roman"/>
          <w:sz w:val="30"/>
          <w:szCs w:val="30"/>
        </w:rPr>
        <w:t xml:space="preserve"> ООШ) на сумму 15,3 тыс. рублей</w:t>
      </w:r>
      <w:proofErr w:type="gramEnd"/>
      <w:r w:rsidR="0042180D" w:rsidRPr="002E5ECA">
        <w:rPr>
          <w:rFonts w:ascii="Times New Roman" w:hAnsi="Times New Roman" w:cs="Times New Roman"/>
          <w:sz w:val="30"/>
          <w:szCs w:val="30"/>
        </w:rPr>
        <w:t>, 1 учреждение г</w:t>
      </w:r>
      <w:proofErr w:type="gramStart"/>
      <w:r w:rsidR="0042180D" w:rsidRPr="002E5ECA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="0042180D" w:rsidRPr="002E5ECA">
        <w:rPr>
          <w:rFonts w:ascii="Times New Roman" w:hAnsi="Times New Roman" w:cs="Times New Roman"/>
          <w:sz w:val="30"/>
          <w:szCs w:val="30"/>
        </w:rPr>
        <w:t xml:space="preserve">етровск-Забайкальский (МУДО ДЮСШ) на сумму 262,8 тыс. рублей. </w:t>
      </w:r>
    </w:p>
    <w:p w:rsidR="0042180D" w:rsidRPr="002E5ECA" w:rsidRDefault="0042180D" w:rsidP="002E5ECA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2E5ECA">
        <w:rPr>
          <w:rFonts w:ascii="Times New Roman" w:eastAsia="Times New Roman" w:hAnsi="Times New Roman"/>
          <w:sz w:val="30"/>
          <w:szCs w:val="30"/>
          <w:lang w:eastAsia="ru-RU"/>
        </w:rPr>
        <w:t xml:space="preserve">По учреждениям Забайкальского района – частично задолженность погашена собственными средствами, снятие блокировки планируется в июне 2021 года, по </w:t>
      </w:r>
      <w:proofErr w:type="spellStart"/>
      <w:r w:rsidRPr="002E5ECA">
        <w:rPr>
          <w:rFonts w:ascii="Times New Roman" w:eastAsia="Times New Roman" w:hAnsi="Times New Roman"/>
          <w:sz w:val="30"/>
          <w:szCs w:val="30"/>
          <w:lang w:eastAsia="ru-RU"/>
        </w:rPr>
        <w:t>Оловяннинскому</w:t>
      </w:r>
      <w:proofErr w:type="spellEnd"/>
      <w:r w:rsidRPr="002E5ECA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району - на погашение задолженности  направляются собственные средства бюджетов поселений; учреждения </w:t>
      </w:r>
      <w:proofErr w:type="spellStart"/>
      <w:r w:rsidRPr="002E5ECA">
        <w:rPr>
          <w:rFonts w:ascii="Times New Roman" w:eastAsia="Times New Roman" w:hAnsi="Times New Roman"/>
          <w:sz w:val="30"/>
          <w:szCs w:val="30"/>
          <w:lang w:eastAsia="ru-RU"/>
        </w:rPr>
        <w:t>Нерчинско-Заводского</w:t>
      </w:r>
      <w:proofErr w:type="spellEnd"/>
      <w:r w:rsidRPr="002E5ECA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и г</w:t>
      </w:r>
      <w:proofErr w:type="gramStart"/>
      <w:r w:rsidRPr="002E5ECA">
        <w:rPr>
          <w:rFonts w:ascii="Times New Roman" w:eastAsia="Times New Roman" w:hAnsi="Times New Roman"/>
          <w:sz w:val="30"/>
          <w:szCs w:val="30"/>
          <w:lang w:eastAsia="ru-RU"/>
        </w:rPr>
        <w:t>.П</w:t>
      </w:r>
      <w:proofErr w:type="gramEnd"/>
      <w:r w:rsidRPr="002E5ECA">
        <w:rPr>
          <w:rFonts w:ascii="Times New Roman" w:eastAsia="Times New Roman" w:hAnsi="Times New Roman"/>
          <w:sz w:val="30"/>
          <w:szCs w:val="30"/>
          <w:lang w:eastAsia="ru-RU"/>
        </w:rPr>
        <w:t xml:space="preserve">етровск-Забайкальский погасят задолженность до 10 июня 2021 года. </w:t>
      </w:r>
    </w:p>
    <w:p w:rsidR="0042180D" w:rsidRPr="002E5ECA" w:rsidRDefault="0042180D" w:rsidP="002E5ECA">
      <w:pPr>
        <w:pStyle w:val="ConsPlusNormal"/>
        <w:tabs>
          <w:tab w:val="left" w:pos="958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5ECA">
        <w:rPr>
          <w:rFonts w:ascii="Times New Roman" w:hAnsi="Times New Roman" w:cs="Times New Roman"/>
          <w:sz w:val="30"/>
          <w:szCs w:val="30"/>
        </w:rPr>
        <w:t>Угроза блокировки счетов на июнь месяц 1407,8 тыс</w:t>
      </w:r>
      <w:proofErr w:type="gramStart"/>
      <w:r w:rsidRPr="002E5ECA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2E5ECA">
        <w:rPr>
          <w:rFonts w:ascii="Times New Roman" w:hAnsi="Times New Roman" w:cs="Times New Roman"/>
          <w:sz w:val="30"/>
          <w:szCs w:val="30"/>
        </w:rPr>
        <w:t>ублей, учтена при отработке перспективных кассовых планов.</w:t>
      </w:r>
    </w:p>
    <w:p w:rsidR="0042180D" w:rsidRPr="002E5ECA" w:rsidRDefault="0042180D" w:rsidP="002E5ECA">
      <w:pPr>
        <w:ind w:firstLine="709"/>
        <w:jc w:val="both"/>
        <w:rPr>
          <w:sz w:val="30"/>
          <w:szCs w:val="30"/>
        </w:rPr>
      </w:pPr>
      <w:r w:rsidRPr="002E5ECA">
        <w:rPr>
          <w:sz w:val="30"/>
          <w:szCs w:val="30"/>
        </w:rPr>
        <w:t xml:space="preserve">Остатки на счетах консолидированных бюджетов МО </w:t>
      </w:r>
      <w:r w:rsidRPr="002E5ECA">
        <w:rPr>
          <w:b/>
          <w:sz w:val="30"/>
          <w:szCs w:val="30"/>
        </w:rPr>
        <w:t>на 02 июня 2021 года</w:t>
      </w:r>
      <w:r w:rsidRPr="002E5ECA">
        <w:rPr>
          <w:sz w:val="30"/>
          <w:szCs w:val="30"/>
        </w:rPr>
        <w:t xml:space="preserve"> составили 525,5 млн. рублей, в том числе на счетах муниципальных районов (без поселений), муниципальных и городских округов  – 319,3 млн. рублей.</w:t>
      </w:r>
    </w:p>
    <w:p w:rsidR="00044852" w:rsidRPr="002E5ECA" w:rsidRDefault="00044852" w:rsidP="002E5ECA">
      <w:pPr>
        <w:ind w:firstLine="709"/>
        <w:contextualSpacing/>
        <w:jc w:val="both"/>
        <w:rPr>
          <w:sz w:val="30"/>
          <w:szCs w:val="30"/>
        </w:rPr>
      </w:pPr>
      <w:r w:rsidRPr="002E5ECA">
        <w:rPr>
          <w:b/>
          <w:sz w:val="30"/>
          <w:szCs w:val="30"/>
        </w:rPr>
        <w:t xml:space="preserve">6. </w:t>
      </w:r>
      <w:r w:rsidRPr="002E5ECA">
        <w:rPr>
          <w:sz w:val="30"/>
          <w:szCs w:val="30"/>
        </w:rPr>
        <w:t xml:space="preserve">направлены для подписания два государственных контракта с ПАО «СОВКОМБАНК» на оказание финансовой услуги по предоставлению кредитных </w:t>
      </w:r>
      <w:r w:rsidRPr="002E5ECA">
        <w:rPr>
          <w:sz w:val="30"/>
          <w:szCs w:val="30"/>
        </w:rPr>
        <w:lastRenderedPageBreak/>
        <w:t>ресурсов в виде возобновляемой кредитной линии для погашения долговых обязательств Забайкальского края в общей сумме 3 567,0 млн. рублей, с ключевой ставкой ЦБ 5,92 процентов  годовых.</w:t>
      </w:r>
    </w:p>
    <w:p w:rsidR="00044852" w:rsidRPr="002E5ECA" w:rsidRDefault="004E25A8" w:rsidP="002E5ECA">
      <w:pPr>
        <w:ind w:firstLine="709"/>
        <w:contextualSpacing/>
        <w:jc w:val="both"/>
        <w:rPr>
          <w:sz w:val="30"/>
          <w:szCs w:val="30"/>
        </w:rPr>
      </w:pPr>
      <w:r w:rsidRPr="002E5ECA">
        <w:rPr>
          <w:b/>
          <w:sz w:val="30"/>
          <w:szCs w:val="30"/>
        </w:rPr>
        <w:t>7.</w:t>
      </w:r>
      <w:r w:rsidRPr="002E5ECA">
        <w:rPr>
          <w:sz w:val="30"/>
          <w:szCs w:val="30"/>
        </w:rPr>
        <w:t xml:space="preserve"> Принято распоряжение Правительства ЗК №115-р от 24.05.2021 о выделении </w:t>
      </w:r>
      <w:proofErr w:type="spellStart"/>
      <w:r w:rsidRPr="002E5ECA">
        <w:rPr>
          <w:sz w:val="30"/>
          <w:szCs w:val="30"/>
        </w:rPr>
        <w:t>Минсоцу</w:t>
      </w:r>
      <w:proofErr w:type="spellEnd"/>
      <w:r w:rsidRPr="002E5ECA">
        <w:rPr>
          <w:sz w:val="30"/>
          <w:szCs w:val="30"/>
        </w:rPr>
        <w:t xml:space="preserve"> ЗК 1466,4 тыс. рублей из резервного фонда Правительства ЗК ГУСО «</w:t>
      </w:r>
      <w:proofErr w:type="spellStart"/>
      <w:r w:rsidRPr="002E5ECA">
        <w:rPr>
          <w:sz w:val="30"/>
          <w:szCs w:val="30"/>
        </w:rPr>
        <w:t>Балейский</w:t>
      </w:r>
      <w:proofErr w:type="spellEnd"/>
      <w:r w:rsidRPr="002E5ECA">
        <w:rPr>
          <w:sz w:val="30"/>
          <w:szCs w:val="30"/>
        </w:rPr>
        <w:t xml:space="preserve"> центр помощи детям, оставшимся без попечения родителей «Маяк» Забайкальского края для восстановления кровли жилого корпуса. Заявка профинансирована в размере 700,0 тыс. рублей;</w:t>
      </w:r>
    </w:p>
    <w:p w:rsidR="002964FE" w:rsidRPr="002E5ECA" w:rsidRDefault="002964FE" w:rsidP="002E5ECA">
      <w:pPr>
        <w:tabs>
          <w:tab w:val="left" w:pos="9356"/>
        </w:tabs>
        <w:ind w:firstLine="709"/>
        <w:contextualSpacing/>
        <w:jc w:val="both"/>
        <w:rPr>
          <w:sz w:val="30"/>
          <w:szCs w:val="30"/>
        </w:rPr>
      </w:pPr>
    </w:p>
    <w:sectPr w:rsidR="002964FE" w:rsidRPr="002E5ECA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CA" w:rsidRDefault="002E5ECA" w:rsidP="006C6AA1">
      <w:r>
        <w:separator/>
      </w:r>
    </w:p>
  </w:endnote>
  <w:endnote w:type="continuationSeparator" w:id="0">
    <w:p w:rsidR="002E5ECA" w:rsidRDefault="002E5ECA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CA" w:rsidRDefault="002E5ECA" w:rsidP="006C6AA1">
      <w:r>
        <w:separator/>
      </w:r>
    </w:p>
  </w:footnote>
  <w:footnote w:type="continuationSeparator" w:id="0">
    <w:p w:rsidR="002E5ECA" w:rsidRDefault="002E5ECA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2E5ECA" w:rsidRDefault="002E5ECA">
        <w:pPr>
          <w:pStyle w:val="a7"/>
          <w:jc w:val="center"/>
        </w:pPr>
        <w:fldSimple w:instr=" PAGE   \* MERGEFORMAT ">
          <w:r w:rsidR="00D100FC">
            <w:rPr>
              <w:noProof/>
            </w:rPr>
            <w:t>2</w:t>
          </w:r>
        </w:fldSimple>
      </w:p>
    </w:sdtContent>
  </w:sdt>
  <w:p w:rsidR="002E5ECA" w:rsidRDefault="002E5E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6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69287FF8"/>
    <w:multiLevelType w:val="hybridMultilevel"/>
    <w:tmpl w:val="ED1A97AE"/>
    <w:lvl w:ilvl="0" w:tplc="4E3A5A1A">
      <w:start w:val="10"/>
      <w:numFmt w:val="decimal"/>
      <w:lvlText w:val="%1."/>
      <w:lvlJc w:val="left"/>
      <w:pPr>
        <w:ind w:left="21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5" w:hanging="360"/>
      </w:pPr>
    </w:lvl>
    <w:lvl w:ilvl="2" w:tplc="0419001B" w:tentative="1">
      <w:start w:val="1"/>
      <w:numFmt w:val="lowerRoman"/>
      <w:lvlText w:val="%3."/>
      <w:lvlJc w:val="right"/>
      <w:pPr>
        <w:ind w:left="3605" w:hanging="180"/>
      </w:pPr>
    </w:lvl>
    <w:lvl w:ilvl="3" w:tplc="0419000F" w:tentative="1">
      <w:start w:val="1"/>
      <w:numFmt w:val="decimal"/>
      <w:lvlText w:val="%4."/>
      <w:lvlJc w:val="left"/>
      <w:pPr>
        <w:ind w:left="4325" w:hanging="360"/>
      </w:pPr>
    </w:lvl>
    <w:lvl w:ilvl="4" w:tplc="04190019" w:tentative="1">
      <w:start w:val="1"/>
      <w:numFmt w:val="lowerLetter"/>
      <w:lvlText w:val="%5."/>
      <w:lvlJc w:val="left"/>
      <w:pPr>
        <w:ind w:left="5045" w:hanging="360"/>
      </w:pPr>
    </w:lvl>
    <w:lvl w:ilvl="5" w:tplc="0419001B" w:tentative="1">
      <w:start w:val="1"/>
      <w:numFmt w:val="lowerRoman"/>
      <w:lvlText w:val="%6."/>
      <w:lvlJc w:val="right"/>
      <w:pPr>
        <w:ind w:left="5765" w:hanging="180"/>
      </w:pPr>
    </w:lvl>
    <w:lvl w:ilvl="6" w:tplc="0419000F" w:tentative="1">
      <w:start w:val="1"/>
      <w:numFmt w:val="decimal"/>
      <w:lvlText w:val="%7."/>
      <w:lvlJc w:val="left"/>
      <w:pPr>
        <w:ind w:left="6485" w:hanging="360"/>
      </w:pPr>
    </w:lvl>
    <w:lvl w:ilvl="7" w:tplc="04190019" w:tentative="1">
      <w:start w:val="1"/>
      <w:numFmt w:val="lowerLetter"/>
      <w:lvlText w:val="%8."/>
      <w:lvlJc w:val="left"/>
      <w:pPr>
        <w:ind w:left="7205" w:hanging="360"/>
      </w:pPr>
    </w:lvl>
    <w:lvl w:ilvl="8" w:tplc="041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8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4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44852"/>
    <w:rsid w:val="00067985"/>
    <w:rsid w:val="000923E0"/>
    <w:rsid w:val="00096574"/>
    <w:rsid w:val="000E14D6"/>
    <w:rsid w:val="001032B3"/>
    <w:rsid w:val="0010785A"/>
    <w:rsid w:val="001126F8"/>
    <w:rsid w:val="00115A06"/>
    <w:rsid w:val="00124758"/>
    <w:rsid w:val="00172EDC"/>
    <w:rsid w:val="001A5E83"/>
    <w:rsid w:val="001D2451"/>
    <w:rsid w:val="001D4A08"/>
    <w:rsid w:val="001E5C43"/>
    <w:rsid w:val="001F38A7"/>
    <w:rsid w:val="00201642"/>
    <w:rsid w:val="00207AB8"/>
    <w:rsid w:val="0022103E"/>
    <w:rsid w:val="00223755"/>
    <w:rsid w:val="00234EA6"/>
    <w:rsid w:val="002432CC"/>
    <w:rsid w:val="00245F4C"/>
    <w:rsid w:val="00257979"/>
    <w:rsid w:val="002640BF"/>
    <w:rsid w:val="002774DA"/>
    <w:rsid w:val="002964FE"/>
    <w:rsid w:val="002B6F47"/>
    <w:rsid w:val="002E5ECA"/>
    <w:rsid w:val="002F003C"/>
    <w:rsid w:val="002F666E"/>
    <w:rsid w:val="0033105D"/>
    <w:rsid w:val="0035413A"/>
    <w:rsid w:val="00360FF1"/>
    <w:rsid w:val="00392EA1"/>
    <w:rsid w:val="003A6DBD"/>
    <w:rsid w:val="003B6FA4"/>
    <w:rsid w:val="003D5EE5"/>
    <w:rsid w:val="003D7FB6"/>
    <w:rsid w:val="003F4BB8"/>
    <w:rsid w:val="0042180D"/>
    <w:rsid w:val="00442776"/>
    <w:rsid w:val="004544B6"/>
    <w:rsid w:val="00454CD0"/>
    <w:rsid w:val="004657FA"/>
    <w:rsid w:val="00482565"/>
    <w:rsid w:val="004A0A12"/>
    <w:rsid w:val="004A2978"/>
    <w:rsid w:val="004B26F4"/>
    <w:rsid w:val="004D5870"/>
    <w:rsid w:val="004D5A08"/>
    <w:rsid w:val="004E25A8"/>
    <w:rsid w:val="0050169E"/>
    <w:rsid w:val="00507894"/>
    <w:rsid w:val="00514B96"/>
    <w:rsid w:val="005256F1"/>
    <w:rsid w:val="00526168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816ED"/>
    <w:rsid w:val="006C6AA1"/>
    <w:rsid w:val="00704014"/>
    <w:rsid w:val="00743607"/>
    <w:rsid w:val="00745FF2"/>
    <w:rsid w:val="00770CE7"/>
    <w:rsid w:val="00780638"/>
    <w:rsid w:val="00782977"/>
    <w:rsid w:val="007977E0"/>
    <w:rsid w:val="007C251D"/>
    <w:rsid w:val="007D4FC4"/>
    <w:rsid w:val="007E5CA6"/>
    <w:rsid w:val="00806E58"/>
    <w:rsid w:val="00845741"/>
    <w:rsid w:val="00850936"/>
    <w:rsid w:val="00865FD8"/>
    <w:rsid w:val="008A56CA"/>
    <w:rsid w:val="008D5727"/>
    <w:rsid w:val="00963E77"/>
    <w:rsid w:val="00991601"/>
    <w:rsid w:val="009B3AEF"/>
    <w:rsid w:val="009E742A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00FC"/>
    <w:rsid w:val="00D1179F"/>
    <w:rsid w:val="00D22746"/>
    <w:rsid w:val="00D270F9"/>
    <w:rsid w:val="00D34936"/>
    <w:rsid w:val="00D41CAD"/>
    <w:rsid w:val="00D43EE3"/>
    <w:rsid w:val="00D527B6"/>
    <w:rsid w:val="00D64932"/>
    <w:rsid w:val="00DC2531"/>
    <w:rsid w:val="00DD2C18"/>
    <w:rsid w:val="00DE152F"/>
    <w:rsid w:val="00DE50AC"/>
    <w:rsid w:val="00DF2678"/>
    <w:rsid w:val="00E10820"/>
    <w:rsid w:val="00F07DD8"/>
    <w:rsid w:val="00F07F35"/>
    <w:rsid w:val="00F14D52"/>
    <w:rsid w:val="00F155C7"/>
    <w:rsid w:val="00F15EA0"/>
    <w:rsid w:val="00F44D22"/>
    <w:rsid w:val="00FB48B5"/>
    <w:rsid w:val="00FC084E"/>
    <w:rsid w:val="00FC0A7A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48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9B84-E03B-462A-96C0-71D1BE08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2021-06-07T00:28:00Z</cp:lastPrinted>
  <dcterms:created xsi:type="dcterms:W3CDTF">2021-06-06T23:58:00Z</dcterms:created>
  <dcterms:modified xsi:type="dcterms:W3CDTF">2021-06-07T10:05:00Z</dcterms:modified>
</cp:coreProperties>
</file>