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A" w:rsidRDefault="009B652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B652A" w:rsidRDefault="009B652A">
      <w:pPr>
        <w:pStyle w:val="ConsPlusNormal"/>
        <w:jc w:val="both"/>
        <w:outlineLvl w:val="0"/>
      </w:pPr>
    </w:p>
    <w:p w:rsidR="009B652A" w:rsidRDefault="009B652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ЗАБАЙКАЛЬСКОГО КРАЯ</w:t>
      </w:r>
    </w:p>
    <w:p w:rsidR="009B652A" w:rsidRDefault="009B652A">
      <w:pPr>
        <w:pStyle w:val="ConsPlusNormal"/>
        <w:jc w:val="center"/>
        <w:rPr>
          <w:b/>
          <w:bCs/>
        </w:rPr>
      </w:pP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от 27 мая 2014 г. N 274</w:t>
      </w:r>
    </w:p>
    <w:p w:rsidR="009B652A" w:rsidRDefault="009B652A">
      <w:pPr>
        <w:pStyle w:val="ConsPlusNormal"/>
        <w:jc w:val="center"/>
        <w:rPr>
          <w:b/>
          <w:bCs/>
        </w:rPr>
      </w:pP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ГОСУДАРСТВЕННОЙ ПРОГРАММЫ ЗАБАЙКАЛЬСКОГО КРАЯ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"УПРАВЛЕНИЕ ГОСУДАРСТВЕННЫМИ ФИНАНСАМИ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И ГОСУДАРСТВЕННЫМ ДОЛГОМ"</w:t>
      </w:r>
    </w:p>
    <w:p w:rsidR="009B652A" w:rsidRDefault="009B652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9B6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31.03.2017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28.03.2018 </w:t>
            </w:r>
            <w:hyperlink r:id="rId8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28.08.2018 </w:t>
            </w:r>
            <w:hyperlink r:id="rId9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29.03.2019 </w:t>
            </w:r>
            <w:hyperlink r:id="rId11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30.12.2019 </w:t>
            </w:r>
            <w:hyperlink r:id="rId13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27.03.2020 </w:t>
            </w:r>
            <w:hyperlink r:id="rId1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02.12.2020 </w:t>
            </w:r>
            <w:hyperlink r:id="rId1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31.03.2021 </w:t>
            </w:r>
            <w:hyperlink r:id="rId1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07.07.2021 </w:t>
            </w:r>
            <w:hyperlink r:id="rId1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29.03.2022 </w:t>
            </w:r>
            <w:hyperlink r:id="rId1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05.09.2022 </w:t>
            </w:r>
            <w:hyperlink r:id="rId20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29.12.2022 </w:t>
            </w:r>
            <w:hyperlink r:id="rId21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28.03.2023 </w:t>
            </w:r>
            <w:hyperlink r:id="rId22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26.12.2023 </w:t>
            </w:r>
            <w:hyperlink r:id="rId2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21.02.2024 </w:t>
            </w:r>
            <w:hyperlink r:id="rId2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разработки, формирования, реализации, мониторинга и проведения оценки эффективности государственных программ Забайкальского края, утвержденным постановлением Правительства Забайкальского края от 30 декабря 2013 года N 600, Перечнем государственных программ Забайкальского края, утвержденным распоряжением Правительства Забайкальского края от 15 мая 2012 года N 223-р, в целях сохранения финансовой стабильности в долгосрочной перспективе Правительство Забайкальского края постановляет:</w:t>
      </w:r>
      <w:proofErr w:type="gramEnd"/>
    </w:p>
    <w:p w:rsidR="009B652A" w:rsidRDefault="009B652A">
      <w:pPr>
        <w:pStyle w:val="ConsPlusNormal"/>
        <w:jc w:val="both"/>
      </w:pPr>
      <w:r>
        <w:t xml:space="preserve">(преамбула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21.02.2024 N 73)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r>
        <w:t xml:space="preserve">утвердить прилагаемую государственную </w:t>
      </w:r>
      <w:hyperlink w:anchor="Par38" w:history="1">
        <w:r>
          <w:rPr>
            <w:color w:val="0000FF"/>
          </w:rPr>
          <w:t>программу</w:t>
        </w:r>
      </w:hyperlink>
      <w:r>
        <w:t xml:space="preserve"> Забайкальского края "Управление государственными финансами и государственным долгом".</w:t>
      </w:r>
    </w:p>
    <w:p w:rsidR="009B652A" w:rsidRDefault="009B65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28.08.2018 N 337)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right"/>
      </w:pPr>
      <w:r>
        <w:t>Губернатор</w:t>
      </w:r>
    </w:p>
    <w:p w:rsidR="009B652A" w:rsidRDefault="009B652A">
      <w:pPr>
        <w:pStyle w:val="ConsPlusNormal"/>
        <w:jc w:val="right"/>
      </w:pPr>
      <w:r>
        <w:t>Забайкальского края</w:t>
      </w:r>
    </w:p>
    <w:p w:rsidR="009B652A" w:rsidRDefault="009B652A">
      <w:pPr>
        <w:pStyle w:val="ConsPlusNormal"/>
        <w:jc w:val="right"/>
      </w:pPr>
      <w:r>
        <w:t>К.К.ИЛЬКОВСКИЙ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both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7E495F" w:rsidRDefault="007E495F">
      <w:pPr>
        <w:pStyle w:val="ConsPlusNormal"/>
        <w:jc w:val="right"/>
        <w:outlineLvl w:val="0"/>
      </w:pPr>
    </w:p>
    <w:p w:rsidR="009B652A" w:rsidRDefault="009B652A">
      <w:pPr>
        <w:pStyle w:val="ConsPlusNormal"/>
        <w:jc w:val="right"/>
        <w:outlineLvl w:val="0"/>
      </w:pPr>
      <w:r>
        <w:lastRenderedPageBreak/>
        <w:t>Утверждена</w:t>
      </w:r>
    </w:p>
    <w:p w:rsidR="009B652A" w:rsidRDefault="009B652A">
      <w:pPr>
        <w:pStyle w:val="ConsPlusNormal"/>
        <w:jc w:val="right"/>
      </w:pPr>
      <w:r>
        <w:t>постановлением</w:t>
      </w:r>
    </w:p>
    <w:p w:rsidR="009B652A" w:rsidRDefault="009B652A">
      <w:pPr>
        <w:pStyle w:val="ConsPlusNormal"/>
        <w:jc w:val="right"/>
      </w:pPr>
      <w:r>
        <w:t>Правительства Забайкальского края</w:t>
      </w:r>
    </w:p>
    <w:p w:rsidR="009B652A" w:rsidRDefault="009B652A">
      <w:pPr>
        <w:pStyle w:val="ConsPlusNormal"/>
        <w:jc w:val="right"/>
      </w:pPr>
      <w:r>
        <w:t>от 27 мая 2014 г. N 274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ГОСУДАРСТВЕННАЯ ПРОГРАММА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"УПРАВЛЕНИЕ ГОСУДАРСТВЕННЫМИ ФИНАНСАМИ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И ГОСУДАРСТВЕННЫМ ДОЛГОМ"</w:t>
      </w:r>
    </w:p>
    <w:p w:rsidR="009B652A" w:rsidRDefault="009B652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9B6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21.02.2024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2A" w:rsidRDefault="009B652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СТРАТЕГИЧЕСКИЕ ПРИОРИТЕТЫ В СФЕРЕ РЕАЛИЗАЦИИ ГОСУДАРСТВЕННОЙ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ПРОГРАММЫ ЗАБАЙКАЛЬСКОГО КРАЯ "УПРАВЛЕНИЕ </w:t>
      </w:r>
      <w:proofErr w:type="gramStart"/>
      <w:r>
        <w:rPr>
          <w:b/>
          <w:bCs/>
        </w:rPr>
        <w:t>ГОСУДАРСТВЕННЫМИ</w:t>
      </w:r>
      <w:proofErr w:type="gramEnd"/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ФИНАНСАМИ И ГОСУДАРСТВЕННЫМ ДОЛГОМ"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1. Оценка текущего состояния сферы реализации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программы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r>
        <w:t>Основным приоритетом реализации государственной программы Забайкальского края "Управление государственными финансами и государственным долгом" (далее - государственная программа) является сохранение финансовой стабильности в долгосрочной перспективе на основе совершенствования управления региональными финансами и повышения их открытости.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Благодаря проведению эффективной налоговой политики в сложных экономических условиях </w:t>
      </w:r>
      <w:proofErr w:type="spellStart"/>
      <w:r>
        <w:t>санкционного</w:t>
      </w:r>
      <w:proofErr w:type="spellEnd"/>
      <w:r>
        <w:t xml:space="preserve"> давления сохранена положительная динамика поступления собственных доходов консолидированного бюджета Забайкальского края. Темп роста собственных доходов консолидированного бюджета Забайкальского края в 2022 году - 104,3% к уровню 2021 года. Общий объем налоговых и неналоговых доходов консолидированного бюджета Забайкальского края в 2022 году превысил 63,0 млрд. рублей.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В целях стабилизации социально-экономической ситуации усовершенствовано региональное законодательство. Приняты законы, устанавливающие правовые и экономические гарантии защиты интересов инвесторов, участников региональных инвестиционных проектов, организаций, получивших статус резидентов территории опережающего экономического развития, в виде снижения ставок по налогу на прибыль и налогу на имущество организаций. </w:t>
      </w:r>
      <w:proofErr w:type="gramStart"/>
      <w:r>
        <w:t>Для стимулирования налогоплательщиков к обновлению основных фондов на территории края введен инвестиционный налоговый вычет по налогу на прибыль</w:t>
      </w:r>
      <w:proofErr w:type="gramEnd"/>
      <w:r>
        <w:t>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Для развития малого и среднего предпринимательства в Забайкальском крае продлены налоговые каникулы до 1 января 2025 года для впервые зарегистрированных предпринимателей по налогам, взимаемым в связи с применением упрощенной и патентной систем налогообложения, а также с 1 июля 2020 года введен налог на профессиональный доход для </w:t>
      </w:r>
      <w:proofErr w:type="spellStart"/>
      <w:r>
        <w:t>самозанятых</w:t>
      </w:r>
      <w:proofErr w:type="spellEnd"/>
      <w:r>
        <w:t xml:space="preserve"> граждан.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В целях повышения эффективности налогового администрирования осуществлялись мероприятия, направленные на изыскание дополнительных налоговых и неналоговых доходов, за счет: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обеспечения полноты уплаты платежей;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повышения заработной платы не ниже минимального </w:t>
      </w:r>
      <w:proofErr w:type="gramStart"/>
      <w:r>
        <w:t>размера оплаты труда</w:t>
      </w:r>
      <w:proofErr w:type="gramEnd"/>
      <w:r>
        <w:t>, легализации "теневой" заработной платы;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lastRenderedPageBreak/>
        <w:t>легализации предпринимательской деятельности, обеспечения постановки на налоговый учет всех потенциальных плательщиков;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сокращения задолженности в бюджет, минимизации рисков при предоставлении налоговых расходов и иных налоговых преференций.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Работа по укреплению доходного потенциала позволила исполнить все публичные и гражданско-правовые обязательства региона в полном объеме.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Бюджетная политика в области расходов остается социально направленной, </w:t>
      </w:r>
      <w:proofErr w:type="gramStart"/>
      <w:r>
        <w:t>но</w:t>
      </w:r>
      <w:proofErr w:type="gramEnd"/>
      <w:r>
        <w:t xml:space="preserve"> несмотря на все сложности, в необходимом объеме финансируются все принятые регионом бюджетные обязательства, в том числе в рамках безусловного приоритета - достижения целей национальных проектов. В 2022 году на их реализацию направлено 26,3 млрд. рублей, из них за счет средств бюджета Забайкальского края на обеспечение </w:t>
      </w:r>
      <w:proofErr w:type="spellStart"/>
      <w:r>
        <w:t>софинансирования</w:t>
      </w:r>
      <w:proofErr w:type="spellEnd"/>
      <w:r>
        <w:t xml:space="preserve"> - 5,1 млрд. рублей, средства на удорожание стоимости строительства инфраструктуры и дополнительные виды работ, не включенные в федеральные субсидии, были изысканы за счет </w:t>
      </w:r>
      <w:proofErr w:type="spellStart"/>
      <w:r>
        <w:t>приоритизации</w:t>
      </w:r>
      <w:proofErr w:type="spellEnd"/>
      <w:r>
        <w:t xml:space="preserve"> расходов.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Для снижения долговой нагрузки на бюджет Забайкальский край принял участие в реструктуризации обязательств перед Российской Федерацией по бюджетным кредитам, полученным из федерального бюджета. Соглашениями, заключенными с Министерством финансов Российской Федерации, продлен период погашения реструктурированных обязательств до 2029 года.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По состоянию на 1 января 2023 года объем государственного долга Забайкальского края составил 32,0 млрд. рублей, или 64,0% от объема собственных доходов. Доля коммерческих заимствований снижена с 51% на начало 2021 года до 9% </w:t>
      </w:r>
      <w:proofErr w:type="gramStart"/>
      <w:r>
        <w:t>на конец</w:t>
      </w:r>
      <w:proofErr w:type="gramEnd"/>
      <w:r>
        <w:t xml:space="preserve"> 2022 года. Муниципальный долг не имеют 8 (23%) из 35 муниципальных образований.</w:t>
      </w:r>
    </w:p>
    <w:p w:rsidR="009B652A" w:rsidRDefault="009B652A">
      <w:pPr>
        <w:pStyle w:val="ConsPlusNormal"/>
        <w:spacing w:before="220"/>
        <w:ind w:firstLine="540"/>
        <w:jc w:val="both"/>
      </w:pPr>
      <w:proofErr w:type="gramStart"/>
      <w:r>
        <w:t xml:space="preserve">Изменения, внесенные в </w:t>
      </w:r>
      <w:hyperlink r:id="rId29" w:history="1">
        <w:r>
          <w:rPr>
            <w:color w:val="0000FF"/>
          </w:rPr>
          <w:t>Закон</w:t>
        </w:r>
      </w:hyperlink>
      <w:r>
        <w:t xml:space="preserve"> Забайкальского края от 20 декабря 2011 года N 608-ЗЗК "О межбюджетных отношениях в Забайкальском крае", позволили осуществлять планирование местных бюджетов с учетом возможности заключения долгосрочных контрактов за счет межбюджетных трансфертов, повысить ответственность главных распорядителей средств бюджета Забайкальского края за своевременное доведение объемов межбюджетных трансфертов и заключение соглашений с муниципальными образованиями Забайкальского края.</w:t>
      </w:r>
      <w:proofErr w:type="gramEnd"/>
    </w:p>
    <w:p w:rsidR="009B652A" w:rsidRDefault="009B652A">
      <w:pPr>
        <w:pStyle w:val="ConsPlusNormal"/>
        <w:spacing w:before="220"/>
        <w:ind w:firstLine="540"/>
        <w:jc w:val="both"/>
      </w:pPr>
      <w:r>
        <w:t>По результатам исполнения местных бюджетов отмечена положительная динамика по показателям: снижение просроченной кредиторской задолженности, отсутствие блокировки счетов по обязательствам местного бюджета, высокое и надлежащее качество управления муниципальными финансами.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 целью упрощения и оптимизации государственных закупок продолжена планомерная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 Забайкальского края по передаче полномочий на определение поставщиков (подрядчиков, исполнителей).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Внедрена подсистема управления закупками для государственных нужд "Web-Торги-КС", которая позволила автоматизировать процессы размещения государственных и муниципальных закупок.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Для реализации принципа открытости бюджетного процесса обеспечивалось информационное наполнение бюджетными данными ГИС "Электронный бюджет" и портала "Открытый бюджет Забайкальского края". По итогам оценки уровня открытости бюджетных данных за 2022 год Забайкальский край вошел в группу субъектов с высоким уровнем открытости бюджетных данных.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Вместе с тем остаются риски для сбалансированности бюджетов Забайкальского края, в их </w:t>
      </w:r>
      <w:r>
        <w:lastRenderedPageBreak/>
        <w:t>числе: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риск недостаточного поступления доходов в краевой бюджет на финансирование расходов;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принятие новых (внесение изменений в </w:t>
      </w:r>
      <w:proofErr w:type="gramStart"/>
      <w:r>
        <w:t>действующие</w:t>
      </w:r>
      <w:proofErr w:type="gramEnd"/>
      <w:r>
        <w:t>) нормативных правовых актов федерального уровня, предусматривающих изменение баланса полномочий и (или) финансовых потоков между федеральным и краевым бюджетами;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принятие решений по введению новых (увеличению действующих) расходных обязательств, не обеспеченных финансовыми ресурсами;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риск роста процентной ставки по кредитам, показывающей вероятность неблагоприятного для Забайкальского края изменения стоимости заимствований в зависимости от времени и объема потребности в заемных ресурсах.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 Приоритеты и цели государственной политики в сфере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государственной программы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proofErr w:type="gramStart"/>
      <w:r>
        <w:t xml:space="preserve">Бюджетная и налоговая политика на среднесрочную перспективу обеспечивает преемственность целей и задач предыдущего планового периода, новых реалий геополитической ситуации и ориентирована в первую очередь на создание условий для социально-экономического развития региона и достижения показателей, определенных указами Президента Российской Федерации от 7 мая 2018 года </w:t>
      </w:r>
      <w:hyperlink r:id="rId30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</w:t>
      </w:r>
      <w:proofErr w:type="gramEnd"/>
      <w:r>
        <w:t xml:space="preserve">", от 21 июля 2020 года </w:t>
      </w:r>
      <w:hyperlink r:id="rId31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К основным макроэкономическим показателям Забайкальского края, характеризующим экономическое развитие региона и обозначенным в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Забайкальского края до 2035 года, утвержденной постановлением Правительства Забайкальского края от 2 июня 2023 года N 272, относятся: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объем налоговых и неналоговых доходов консолидированного бюджета;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объем государственного долга к утвержденному годовому объему доходов бюджета без учета утвержденного объема безвозмездных поступлений.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Для достижения целевых значений указанных показателей в долгосрочном периоде необходимо принятие следующих мер: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совершенствование налогового законодательства Забайкальского края с учетом изменений в налоговом законодательстве Российской Федерации в целях обеспечения комфортных экономических условий для ведения предпринимательской деятельности, включая малое и среднее предпринимательство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выявление и пресечение схем минимизации налогов, совершенствование методов </w:t>
      </w:r>
      <w:proofErr w:type="gramStart"/>
      <w:r>
        <w:t>контроля</w:t>
      </w:r>
      <w:proofErr w:type="gramEnd"/>
      <w:r>
        <w:t xml:space="preserve"> легализации налоговой базы, включая легализацию "теневой" заработной платы, и методов налогового администрирования;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принятие решения о целесообразности сохранения действующих налоговых льгот с учетом их </w:t>
      </w:r>
      <w:proofErr w:type="spellStart"/>
      <w:r>
        <w:t>востребованности</w:t>
      </w:r>
      <w:proofErr w:type="spellEnd"/>
      <w:r>
        <w:t xml:space="preserve"> и эффективности, пересмотр налоговых льгот (пониженных ставок), обеспечение оптимального выбора объектов для предоставления государственной поддержки в виде налоговых льгот с учетом вклада в достижение целевых показателей государственных </w:t>
      </w:r>
      <w:r>
        <w:lastRenderedPageBreak/>
        <w:t>программ и соответствия целям стратегического развития Российской Федерации и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обеспечение потребностей бюджета Забайкальского края в заемном финансировании;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своевременное исполнение долговых обязатель</w:t>
      </w:r>
      <w:proofErr w:type="gramStart"/>
      <w:r>
        <w:t>ств пр</w:t>
      </w:r>
      <w:proofErr w:type="gramEnd"/>
      <w:r>
        <w:t>и минимизации расходов на обслуживание государственного долга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безусловное исполнение требований бюджетного законодательства к организации управления государственным долгом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проведение работы в направлении организации долгосрочного планирования заимствований с возможным размещением облигационного займа;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соблюдение условий реструктуризации бюджетных кредитов, предоставленных Забайкальскому краю из федерального бюджета.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3. Сведения о взаимосвязи государственной программы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со стратегическими приоритетами, целями и показателями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программ Российской Федерации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proofErr w:type="gramStart"/>
      <w:r>
        <w:t xml:space="preserve">Долгосрочные приоритеты государственной политики в сфере реализации государственной программы определены с учетом положений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года N 445.</w:t>
      </w:r>
      <w:proofErr w:type="gramEnd"/>
      <w:r>
        <w:t xml:space="preserve"> В целях укрепления финансовой обеспеченности и создания условий для устойчивого и сбалансированного исполнения бюджетов субъектов Российской Федерации определен общий объем финансовой поддержки для регионов. Для Забайкальского края установлен показатель "Доля просроченной кредиторской задолженности бюджета Забайкальского края и местных бюджетов в расходах консолидированного бюджета края, не более 0,04%".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34" w:history="1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Федерации, утвержденной распоряжением Правительства Российской Федерации от 24 октября 2023 года N 2958-р, предусмотрены мероприятия для повышения уровня финансовой грамотности населения Российской Федерации.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С учетом перечисленных документов определены цели государственной программы. </w:t>
      </w:r>
      <w:proofErr w:type="gramStart"/>
      <w:r>
        <w:t>Целевые значения показателей определены исходя из необходимости решения проблемных вопросов в сфере управления государственными финансами, обеспечения устойчивости бюджета Забайкальского края в среднесрочной и долгосрочной перспективах.</w:t>
      </w:r>
      <w:proofErr w:type="gramEnd"/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4. Задачи государственного управления и способы их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эффективного решения в сфере реализации государственной</w:t>
      </w:r>
    </w:p>
    <w:p w:rsidR="009B652A" w:rsidRDefault="009B652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ind w:firstLine="540"/>
        <w:jc w:val="both"/>
      </w:pPr>
      <w:r>
        <w:t xml:space="preserve">Создание условий для развития доходного потенциала Забайкальского края будет решаться </w:t>
      </w:r>
      <w:proofErr w:type="gramStart"/>
      <w:r>
        <w:t>через</w:t>
      </w:r>
      <w:proofErr w:type="gramEnd"/>
      <w:r>
        <w:t>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реализацию мер по проведению эффективной налоговой политики, предусматривающей расширение экономического потенциала региона за счет повышения инвестиционной активности, создания условий справедливой конкурентной среды и сокращения теневого сектора экономики, стимулирования развития малого и среднего предпринимательства, а также сокращения неэффективных налоговых расходов;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lastRenderedPageBreak/>
        <w:t>обеспечение эффективного взаимодействия с главными администраторами налоговых и неналоговых доходов краевого бюджета, полноты уплаты платежей в бюджет и снижения налоговой задолженности;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создание стимулов по увеличению налогового потенциала в муниципальных образованиях и поощрение муниципальных образований, достигших наилучших результатов.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Основной задачей в рамках управления государственным долгом Забайкальского края является удержание объема и структуры государственного долга Забайкальского края на экономически безопасном уровне при соблюдении ограничений, установленных федеральным законодательством.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обеспечения устойчивого исполнения бюджетов муниципальных образований Забайкальского края</w:t>
      </w:r>
      <w:proofErr w:type="gramEnd"/>
      <w:r>
        <w:t xml:space="preserve"> планируется: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выравнивание финансовых возможностей местных бюджетов для надлежащего исполнения их расходных обязательств;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финансовое обеспечение полномочий, переданных муниципальным образованиям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 xml:space="preserve">достижение наилучших </w:t>
      </w:r>
      <w:proofErr w:type="gramStart"/>
      <w:r>
        <w:t>результатов реализации полномочий органов местного самоуправления муниципальных образований Забайкальского края</w:t>
      </w:r>
      <w:proofErr w:type="gramEnd"/>
      <w:r>
        <w:t xml:space="preserve"> в пределах имеющихся источников местных бюджетов.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Организацию и управление бюджетным процессом и повышение его открытости планируется осуществлять путем: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проведения единой государственной финансовой, налоговой и бюджетной политики на региональном уровне;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создания оптимальных условий для своевременного и качественного формирования и исполнения бюджета Забайкальского края, формирования бюджетной отчетности;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обеспечения работоспособности и безопасности государственной информационной системы "Автоматизированная система управления региональными финансами Забайкальского края";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повышения качества проверок финансовой дисциплины организаций, получающих средства бюджета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совершенствования механизмов осуществления закупок товаров, работ, услуг для государственных нужд Забайкальского края;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проведения публичных слушаний по проекту бюджета Забайкальского края на очередной финансовый год и плановый период и годовому отчету об исполнении бюджета Забайкальского края и своевременного размещения брошюры "Бюджет для граждан" в соответствии с установленными требованиями законодательства.</w:t>
      </w:r>
    </w:p>
    <w:p w:rsidR="009B652A" w:rsidRDefault="009B652A">
      <w:pPr>
        <w:pStyle w:val="ConsPlusNormal"/>
        <w:spacing w:before="220"/>
        <w:ind w:firstLine="540"/>
        <w:jc w:val="both"/>
      </w:pPr>
      <w:r>
        <w:t>Для повышения финансовой грамотности населения Забайкальского края планируется обеспечение граждан доступной, объективной и качественной информацией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потребностями.</w:t>
      </w:r>
    </w:p>
    <w:p w:rsidR="009B652A" w:rsidRDefault="009B652A">
      <w:pPr>
        <w:pStyle w:val="ConsPlusNormal"/>
        <w:jc w:val="both"/>
      </w:pPr>
    </w:p>
    <w:p w:rsidR="009B652A" w:rsidRDefault="009B652A">
      <w:pPr>
        <w:pStyle w:val="ConsPlusNormal"/>
        <w:jc w:val="both"/>
      </w:pPr>
    </w:p>
    <w:p w:rsidR="00FD0EBF" w:rsidRDefault="00FD0EBF"/>
    <w:sectPr w:rsidR="00FD0EBF" w:rsidSect="0011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52A"/>
    <w:rsid w:val="007E495F"/>
    <w:rsid w:val="009B652A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45086&amp;dst=100005" TargetMode="External"/><Relationship Id="rId13" Type="http://schemas.openxmlformats.org/officeDocument/2006/relationships/hyperlink" Target="https://login.consultant.ru/link/?req=doc&amp;base=RLAW251&amp;n=1654592&amp;dst=100005" TargetMode="External"/><Relationship Id="rId18" Type="http://schemas.openxmlformats.org/officeDocument/2006/relationships/hyperlink" Target="https://login.consultant.ru/link/?req=doc&amp;base=RLAW251&amp;n=1663494&amp;dst=100005" TargetMode="External"/><Relationship Id="rId26" Type="http://schemas.openxmlformats.org/officeDocument/2006/relationships/hyperlink" Target="https://login.consultant.ru/link/?req=doc&amp;base=RLAW251&amp;n=1673077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1&amp;n=1667978&amp;dst=100005" TargetMode="External"/><Relationship Id="rId34" Type="http://schemas.openxmlformats.org/officeDocument/2006/relationships/hyperlink" Target="https://login.consultant.ru/link/?req=doc&amp;base=LAW&amp;n=460597&amp;dst=100010" TargetMode="External"/><Relationship Id="rId7" Type="http://schemas.openxmlformats.org/officeDocument/2006/relationships/hyperlink" Target="https://login.consultant.ru/link/?req=doc&amp;base=RLAW251&amp;n=1643406&amp;dst=100005" TargetMode="External"/><Relationship Id="rId12" Type="http://schemas.openxmlformats.org/officeDocument/2006/relationships/hyperlink" Target="https://login.consultant.ru/link/?req=doc&amp;base=RLAW251&amp;n=1653092&amp;dst=100005" TargetMode="External"/><Relationship Id="rId17" Type="http://schemas.openxmlformats.org/officeDocument/2006/relationships/hyperlink" Target="https://login.consultant.ru/link/?req=doc&amp;base=RLAW251&amp;n=1661028&amp;dst=100005" TargetMode="External"/><Relationship Id="rId25" Type="http://schemas.openxmlformats.org/officeDocument/2006/relationships/hyperlink" Target="https://login.consultant.ru/link/?req=doc&amp;base=RLAW251&amp;n=1672523&amp;dst=100663" TargetMode="External"/><Relationship Id="rId33" Type="http://schemas.openxmlformats.org/officeDocument/2006/relationships/hyperlink" Target="https://login.consultant.ru/link/?req=doc&amp;base=LAW&amp;n=455812&amp;dst=2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1&amp;n=1660026&amp;dst=100005" TargetMode="External"/><Relationship Id="rId20" Type="http://schemas.openxmlformats.org/officeDocument/2006/relationships/hyperlink" Target="https://login.consultant.ru/link/?req=doc&amp;base=RLAW251&amp;n=1665893&amp;dst=100005" TargetMode="External"/><Relationship Id="rId29" Type="http://schemas.openxmlformats.org/officeDocument/2006/relationships/hyperlink" Target="https://login.consultant.ru/link/?req=doc&amp;base=RLAW251&amp;n=1670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39640&amp;dst=100005" TargetMode="External"/><Relationship Id="rId11" Type="http://schemas.openxmlformats.org/officeDocument/2006/relationships/hyperlink" Target="https://login.consultant.ru/link/?req=doc&amp;base=RLAW251&amp;n=1651160&amp;dst=100005" TargetMode="External"/><Relationship Id="rId24" Type="http://schemas.openxmlformats.org/officeDocument/2006/relationships/hyperlink" Target="https://login.consultant.ru/link/?req=doc&amp;base=RLAW251&amp;n=1673077&amp;dst=100005" TargetMode="External"/><Relationship Id="rId32" Type="http://schemas.openxmlformats.org/officeDocument/2006/relationships/hyperlink" Target="https://login.consultant.ru/link/?req=doc&amp;base=RLAW251&amp;n=1672974&amp;dst=100011" TargetMode="External"/><Relationship Id="rId5" Type="http://schemas.openxmlformats.org/officeDocument/2006/relationships/hyperlink" Target="https://login.consultant.ru/link/?req=doc&amp;base=RLAW251&amp;n=1634814&amp;dst=100005" TargetMode="External"/><Relationship Id="rId15" Type="http://schemas.openxmlformats.org/officeDocument/2006/relationships/hyperlink" Target="https://login.consultant.ru/link/?req=doc&amp;base=RLAW251&amp;n=1658482&amp;dst=100005" TargetMode="External"/><Relationship Id="rId23" Type="http://schemas.openxmlformats.org/officeDocument/2006/relationships/hyperlink" Target="https://login.consultant.ru/link/?req=doc&amp;base=RLAW251&amp;n=1672379&amp;dst=100005" TargetMode="External"/><Relationship Id="rId28" Type="http://schemas.openxmlformats.org/officeDocument/2006/relationships/hyperlink" Target="https://login.consultant.ru/link/?req=doc&amp;base=RLAW251&amp;n=1673077&amp;dst=100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1&amp;n=1649840&amp;dst=100005" TargetMode="External"/><Relationship Id="rId19" Type="http://schemas.openxmlformats.org/officeDocument/2006/relationships/hyperlink" Target="https://login.consultant.ru/link/?req=doc&amp;base=RLAW251&amp;n=1664271&amp;dst=100005" TargetMode="External"/><Relationship Id="rId31" Type="http://schemas.openxmlformats.org/officeDocument/2006/relationships/hyperlink" Target="https://login.consultant.ru/link/?req=doc&amp;base=LAW&amp;n=3579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1&amp;n=1647645&amp;dst=100005" TargetMode="External"/><Relationship Id="rId14" Type="http://schemas.openxmlformats.org/officeDocument/2006/relationships/hyperlink" Target="https://login.consultant.ru/link/?req=doc&amp;base=RLAW251&amp;n=1655370&amp;dst=100005" TargetMode="External"/><Relationship Id="rId22" Type="http://schemas.openxmlformats.org/officeDocument/2006/relationships/hyperlink" Target="https://login.consultant.ru/link/?req=doc&amp;base=RLAW251&amp;n=1668909&amp;dst=100005" TargetMode="External"/><Relationship Id="rId27" Type="http://schemas.openxmlformats.org/officeDocument/2006/relationships/hyperlink" Target="https://login.consultant.ru/link/?req=doc&amp;base=RLAW251&amp;n=1647645&amp;dst=100010" TargetMode="External"/><Relationship Id="rId30" Type="http://schemas.openxmlformats.org/officeDocument/2006/relationships/hyperlink" Target="https://login.consultant.ru/link/?req=doc&amp;base=LAW&amp;n=3580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2760</Words>
  <Characters>15738</Characters>
  <Application>Microsoft Office Word</Application>
  <DocSecurity>0</DocSecurity>
  <Lines>131</Lines>
  <Paragraphs>36</Paragraphs>
  <ScaleCrop>false</ScaleCrop>
  <Company>Home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АГаранина</dc:creator>
  <cp:lastModifiedBy>АГаранина</cp:lastModifiedBy>
  <cp:revision>2</cp:revision>
  <dcterms:created xsi:type="dcterms:W3CDTF">2024-04-03T00:16:00Z</dcterms:created>
  <dcterms:modified xsi:type="dcterms:W3CDTF">2024-04-03T00:18:00Z</dcterms:modified>
</cp:coreProperties>
</file>