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F36F" w14:textId="77777777" w:rsidR="006C7F13" w:rsidRPr="006967E0" w:rsidRDefault="0075149B">
      <w:pPr>
        <w:jc w:val="center"/>
        <w:rPr>
          <w:bCs/>
        </w:rPr>
      </w:pPr>
      <w:r w:rsidRPr="006967E0">
        <w:rPr>
          <w:bCs/>
        </w:rPr>
        <w:t xml:space="preserve">Методические рекомендации </w:t>
      </w:r>
    </w:p>
    <w:p w14:paraId="75EA9A53" w14:textId="77777777" w:rsidR="006C7F13" w:rsidRPr="006967E0" w:rsidRDefault="0075149B">
      <w:pPr>
        <w:jc w:val="center"/>
        <w:rPr>
          <w:bCs/>
        </w:rPr>
      </w:pPr>
      <w:r w:rsidRPr="006967E0">
        <w:rPr>
          <w:bCs/>
        </w:rPr>
        <w:t xml:space="preserve">по разработке и утверждению порядка принятия </w:t>
      </w:r>
    </w:p>
    <w:p w14:paraId="442F5A6A" w14:textId="77777777" w:rsidR="006C7F13" w:rsidRPr="006967E0" w:rsidRDefault="0075149B">
      <w:pPr>
        <w:jc w:val="center"/>
        <w:rPr>
          <w:bCs/>
        </w:rPr>
      </w:pPr>
      <w:r w:rsidRPr="006967E0">
        <w:rPr>
          <w:bCs/>
        </w:rPr>
        <w:t>расходных обязательств муниципального образования</w:t>
      </w:r>
    </w:p>
    <w:p w14:paraId="67AC5C83" w14:textId="77777777" w:rsidR="006C7F13" w:rsidRPr="006967E0" w:rsidRDefault="006C7F13">
      <w:pPr>
        <w:jc w:val="both"/>
        <w:rPr>
          <w:bCs/>
        </w:rPr>
      </w:pPr>
    </w:p>
    <w:p w14:paraId="5A65FCC8" w14:textId="77777777" w:rsidR="006C7F13" w:rsidRPr="006967E0" w:rsidRDefault="0075149B">
      <w:pPr>
        <w:jc w:val="center"/>
        <w:rPr>
          <w:b/>
        </w:rPr>
      </w:pPr>
      <w:r w:rsidRPr="006967E0">
        <w:rPr>
          <w:b/>
          <w:lang w:val="en-US"/>
        </w:rPr>
        <w:t>I</w:t>
      </w:r>
      <w:r w:rsidRPr="006967E0">
        <w:rPr>
          <w:b/>
        </w:rPr>
        <w:t>. Общие положения</w:t>
      </w:r>
    </w:p>
    <w:p w14:paraId="159F73C7" w14:textId="77777777" w:rsidR="006C7F13" w:rsidRPr="006967E0" w:rsidRDefault="006C7F13">
      <w:pPr>
        <w:jc w:val="center"/>
        <w:rPr>
          <w:bCs/>
        </w:rPr>
      </w:pPr>
    </w:p>
    <w:p w14:paraId="21295B15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1. Настоящие методические рекомендации по разработке и утверждению порядка принятия расходных обязательств муниципальными образованиями (далее – МО) на текущий год и плановый период (далее – Порядок) подготовлены в целях учета расходных обязательств МО, возникших и подлежащих исполнению за счет бюджетных ассигнований местного бюджета, определения объема средств местного бюджета на текущий год и плановый период, необходимого для их исполнения.</w:t>
      </w:r>
    </w:p>
    <w:p w14:paraId="4A97FA89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2. Понятия, используемые в настоящем Порядке:</w:t>
      </w:r>
    </w:p>
    <w:p w14:paraId="437345AB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- расходные обязательства - обусловленные законом, иным правовым актом, договором или соглашением обязанности МО по предоставлению средств местного бюджета физическим или юридическим лицам, органам государственной власти и органам местного самоуправления МО;</w:t>
      </w:r>
    </w:p>
    <w:p w14:paraId="38447A2D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 xml:space="preserve">- реестр расходных обязательств МО - свод (перечень) муниципальных правовых актов органа местного самоуправления, принятых по вопросам местного значения, по вопросам осуществления органом местного самоуправления отдельных государственных полномочий (переданных полномочий) и заключенных органом местного самоуправления договоров (соглашений) по вопросам местного значения, предусматривающих возникновение расходных обязательств МО, подлежащих исполнению за счет собственных средств местного бюджета, а в части переданных полномочий - за счет субвенций; </w:t>
      </w:r>
    </w:p>
    <w:p w14:paraId="360FEE02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- инициатор изменения (принятия) расходного обязательства - депутаты представительного органа муниципального образования, глава муниципального образования (местной администрации), главный распорядитель, получатель средств местного бюджета, органы территориального общественного самоуправления, инициативные группы граждан, а также иные субъекты правотворческой инициативы, установленные уставом муниципального образования (далее – Инициатор);</w:t>
      </w:r>
    </w:p>
    <w:p w14:paraId="1C2A9E84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 xml:space="preserve">- бюджетное обязательство - расходное обязательство, которое должно быть исполнено в соответствующем финансовом году; </w:t>
      </w:r>
    </w:p>
    <w:p w14:paraId="2A0FF4FD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- денежное обязательство - обязанность уплатить денежные средства в соответствующем финансовом году, возникающее в результате наступления условий, требующих выполнения от учреждения (органа, организации) принятых на себя обязательств.</w:t>
      </w:r>
    </w:p>
    <w:p w14:paraId="413648E1" w14:textId="77777777" w:rsidR="006C7F13" w:rsidRPr="006967E0" w:rsidRDefault="006C7F13">
      <w:pPr>
        <w:shd w:val="clear" w:color="auto" w:fill="FFFFFF"/>
        <w:ind w:firstLine="675"/>
        <w:jc w:val="both"/>
      </w:pPr>
    </w:p>
    <w:p w14:paraId="5A96B7B4" w14:textId="77777777" w:rsidR="006C7F13" w:rsidRPr="006967E0" w:rsidRDefault="0075149B">
      <w:pPr>
        <w:jc w:val="center"/>
        <w:rPr>
          <w:b/>
        </w:rPr>
      </w:pPr>
      <w:r w:rsidRPr="006967E0">
        <w:rPr>
          <w:b/>
          <w:lang w:val="en-US"/>
        </w:rPr>
        <w:t>II</w:t>
      </w:r>
      <w:r w:rsidRPr="006967E0">
        <w:rPr>
          <w:b/>
        </w:rPr>
        <w:t>. Основания изменения (принятия) расходных обязательств</w:t>
      </w:r>
    </w:p>
    <w:p w14:paraId="631257AB" w14:textId="77777777" w:rsidR="006C7F13" w:rsidRPr="006967E0" w:rsidRDefault="006C7F13">
      <w:pPr>
        <w:shd w:val="clear" w:color="auto" w:fill="FFFFFF"/>
        <w:ind w:firstLine="675"/>
        <w:jc w:val="both"/>
      </w:pPr>
    </w:p>
    <w:p w14:paraId="51BA2ECF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 xml:space="preserve">3. Основанием для изменения (принятия) расходных обязательств являются: </w:t>
      </w:r>
    </w:p>
    <w:p w14:paraId="6EA2A66B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lastRenderedPageBreak/>
        <w:t xml:space="preserve">1) принятие муниципальных правовых актов, включая </w:t>
      </w:r>
      <w:proofErr w:type="gramStart"/>
      <w:r w:rsidRPr="006967E0">
        <w:t>муниципальные  программы</w:t>
      </w:r>
      <w:proofErr w:type="gramEnd"/>
      <w:r w:rsidRPr="006967E0">
        <w:t xml:space="preserve"> и заключение МО договоров и соглашений, предусматривающих возникновение новых расходных обязательств МО;</w:t>
      </w:r>
    </w:p>
    <w:p w14:paraId="70D7544C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2) изменение сроков действия (окончание, пролонгация) расходных обязательств МО;</w:t>
      </w:r>
    </w:p>
    <w:p w14:paraId="0FC9EA83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3) принятие муниципальных правовых актов об изменении объемов средств на исполнение действующих расходных обязательств МО;</w:t>
      </w:r>
    </w:p>
    <w:p w14:paraId="503663A7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4) чрезвычайные (непредвиденные) ситуации на территории МО, повлекшие возникновение новых расходных обязательств МО;</w:t>
      </w:r>
    </w:p>
    <w:p w14:paraId="5199E31F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>5) признание утратившими силу законодательных и иных нормативных правовых актов, подлежащих исполнению за счет местного бюджета.</w:t>
      </w:r>
    </w:p>
    <w:p w14:paraId="17AAF3DB" w14:textId="77777777" w:rsidR="006C7F13" w:rsidRPr="006967E0" w:rsidRDefault="006C7F13">
      <w:pPr>
        <w:jc w:val="both"/>
        <w:rPr>
          <w:bCs/>
        </w:rPr>
      </w:pPr>
    </w:p>
    <w:p w14:paraId="1459D900" w14:textId="77777777" w:rsidR="006C7F13" w:rsidRPr="006967E0" w:rsidRDefault="0075149B">
      <w:pPr>
        <w:jc w:val="center"/>
        <w:rPr>
          <w:b/>
        </w:rPr>
      </w:pPr>
      <w:r w:rsidRPr="006967E0">
        <w:rPr>
          <w:b/>
          <w:lang w:val="en-US"/>
        </w:rPr>
        <w:t>III</w:t>
      </w:r>
      <w:r w:rsidRPr="006967E0">
        <w:rPr>
          <w:b/>
        </w:rPr>
        <w:t>. Обязательные условия при подготовке документов для принятия расходных обязательств</w:t>
      </w:r>
    </w:p>
    <w:p w14:paraId="55E69091" w14:textId="77777777" w:rsidR="006C7F13" w:rsidRPr="006967E0" w:rsidRDefault="006C7F13">
      <w:pPr>
        <w:jc w:val="both"/>
        <w:rPr>
          <w:bCs/>
        </w:rPr>
      </w:pPr>
    </w:p>
    <w:p w14:paraId="0944F407" w14:textId="77777777" w:rsidR="006C7F13" w:rsidRPr="006967E0" w:rsidRDefault="0075149B">
      <w:pPr>
        <w:jc w:val="both"/>
      </w:pPr>
      <w:r w:rsidRPr="006967E0">
        <w:rPr>
          <w:bCs/>
        </w:rPr>
        <w:t xml:space="preserve">         4. При подготовке, рассмотрении и согласовании документов Инициатора по </w:t>
      </w:r>
      <w:r w:rsidRPr="006967E0">
        <w:t>изменению (принятию) расходных обязательств необходимо учесть:</w:t>
      </w:r>
    </w:p>
    <w:p w14:paraId="355272DB" w14:textId="77777777" w:rsidR="006C7F13" w:rsidRPr="006967E0" w:rsidRDefault="0075149B">
      <w:pPr>
        <w:jc w:val="both"/>
      </w:pPr>
      <w:r w:rsidRPr="006967E0">
        <w:t xml:space="preserve">        - финансовые возможности местного бюджета на основании анализа исполнения доходной части бюджета муниципального образования (за предыдущие 2 отчетных года, ожидаемой оценки текущего года и прогноза поступлений на очередной год и плановый период), наличие кредиторской задолженности по действующим расходным обязательствам, долговую устойчивость МО;</w:t>
      </w:r>
    </w:p>
    <w:p w14:paraId="370D0BE2" w14:textId="77777777" w:rsidR="006C7F13" w:rsidRPr="006967E0" w:rsidRDefault="0075149B">
      <w:pPr>
        <w:shd w:val="clear" w:color="auto" w:fill="FFFFFF"/>
        <w:jc w:val="both"/>
      </w:pPr>
      <w:r w:rsidRPr="006967E0">
        <w:rPr>
          <w:bCs/>
        </w:rPr>
        <w:t xml:space="preserve">       - </w:t>
      </w:r>
      <w:r w:rsidRPr="006967E0">
        <w:t>ожидаемый экономический и социальный эффект;</w:t>
      </w:r>
    </w:p>
    <w:p w14:paraId="0A8DAC28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- механизм взаимодействия участников бюджетного процесса МО;</w:t>
      </w:r>
    </w:p>
    <w:p w14:paraId="78121FD8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- вступление муниципальных правовых актов в силу с даты, подтвержденной обеспечением источника финансирования, без ущерба по отношению к действующим расходным обязательствам; </w:t>
      </w:r>
    </w:p>
    <w:p w14:paraId="6A5C8CD7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- приоритетность развития территории и основные направления бюджетной политики МО на основе эффективности принимаемых расходных обязательств;</w:t>
      </w:r>
    </w:p>
    <w:p w14:paraId="7B93F92E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- принятие новых расходных обязательств только при наличии источника финансирования, отсутствии просроченных действующих обязательств и соблюдении установленного норматива ОМСУ.  </w:t>
      </w:r>
    </w:p>
    <w:p w14:paraId="76CB5B2F" w14:textId="77777777" w:rsidR="006C7F13" w:rsidRPr="006967E0" w:rsidRDefault="006C7F13">
      <w:pPr>
        <w:jc w:val="center"/>
        <w:rPr>
          <w:b/>
        </w:rPr>
      </w:pPr>
    </w:p>
    <w:p w14:paraId="7276157A" w14:textId="77777777" w:rsidR="006C7F13" w:rsidRPr="006967E0" w:rsidRDefault="0075149B">
      <w:pPr>
        <w:jc w:val="center"/>
        <w:rPr>
          <w:b/>
        </w:rPr>
      </w:pPr>
      <w:r w:rsidRPr="006967E0">
        <w:rPr>
          <w:b/>
          <w:lang w:val="en-US"/>
        </w:rPr>
        <w:t>IV</w:t>
      </w:r>
      <w:r w:rsidRPr="006967E0">
        <w:rPr>
          <w:b/>
        </w:rPr>
        <w:t>. Порядок рассмотрения документов для принятия расходных обязательств</w:t>
      </w:r>
    </w:p>
    <w:p w14:paraId="3722EFD1" w14:textId="77777777" w:rsidR="006C7F13" w:rsidRPr="006967E0" w:rsidRDefault="006C7F13">
      <w:pPr>
        <w:shd w:val="clear" w:color="auto" w:fill="FFFFFF"/>
        <w:jc w:val="both"/>
        <w:rPr>
          <w:highlight w:val="yellow"/>
        </w:rPr>
      </w:pPr>
    </w:p>
    <w:p w14:paraId="52570090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5. Инициатор готовит документы для рассмотрения с учетом обязательных положений:</w:t>
      </w:r>
    </w:p>
    <w:p w14:paraId="6EBD73C5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1) перечень и объем бюджетных ассигнований на исполнение принимаемых расходных обязательств на текущий год, очередной год и плановый период с приложением расчетов требуемого объема бюджетных ассигнований на исполнение предлагаемых (планируемых) к принятию </w:t>
      </w:r>
      <w:r w:rsidRPr="006967E0">
        <w:lastRenderedPageBreak/>
        <w:t>муниципальных правовых актов, устанавливающих указанные расходные обязательства;</w:t>
      </w:r>
    </w:p>
    <w:p w14:paraId="750F3623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2) предложения по источникам финансирования;</w:t>
      </w:r>
    </w:p>
    <w:p w14:paraId="639CDA5E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3) информацию о своевременности исполнения действующих расходных обязательств в указанной сфере деятельности и отсутствии просроченных обязательств.</w:t>
      </w:r>
    </w:p>
    <w:p w14:paraId="13723985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6. Инициатор согласовывает документы для получений заключений:</w:t>
      </w:r>
    </w:p>
    <w:p w14:paraId="20154FFA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1) с ГРБС местного бюджета, осуществляющим координацию в соответствующей сфере деятельности;</w:t>
      </w:r>
    </w:p>
    <w:p w14:paraId="6CA9E72F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2)  с финансовым органом МО; </w:t>
      </w:r>
    </w:p>
    <w:p w14:paraId="4D16ED36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3) с Министерством финансов Забайкальского края при наличии обязательств МО по согласованию принимаемых решений по изменению (принятию) расходных обязательств, влекущих увеличение расходов местного бюджета.   </w:t>
      </w:r>
    </w:p>
    <w:p w14:paraId="03970344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 7. Инициатор с учетом заключений заинтересованных сторон вносит вопрос для рассмотрения на комиссии, образованной правовым актом МО (далее – комиссия МО), исходя из реальных возможностей местного бюджета. </w:t>
      </w:r>
    </w:p>
    <w:p w14:paraId="53650897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 При этом раздельно рассматриваются и планируются:</w:t>
      </w:r>
    </w:p>
    <w:p w14:paraId="66076E3B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1) мероприятия, требующие выделения бюджетных ассигнований на исполнение принимаемых расходных обязательств только в очередном финансовом году, в том числе:</w:t>
      </w:r>
    </w:p>
    <w:p w14:paraId="461CC46B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а) приводящие к сокращению действующих обязательств последующих лет (реорганизация подведомственных учреждений, снижение неэффективных расходов бюджета и др.);</w:t>
      </w:r>
    </w:p>
    <w:p w14:paraId="58A827CB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б) не включаемые в состав действующих обязательств последующих лет (реализация краткосрочных, не выходящих за пределы финансового года программ и проектов, единовременные, разовые выплаты, мероприятия и т.д.);</w:t>
      </w:r>
    </w:p>
    <w:p w14:paraId="460B784D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 2) мероприятия, включаемые в состав действующих обязательств и (или) приводящие к увеличению объема действующих обязательств последующих лет (увеличение действующих или введение новых видов публичных нормативных обязательств, создание новых бюджетных учреждений, принятие новых муниципальных программ, нормативных правовых актов, устанавливающих новые расходные обязательства и др.).</w:t>
      </w:r>
    </w:p>
    <w:p w14:paraId="41130ED8" w14:textId="77777777" w:rsidR="006C7F13" w:rsidRPr="006967E0" w:rsidRDefault="0075149B">
      <w:pPr>
        <w:shd w:val="clear" w:color="auto" w:fill="FFFFFF"/>
        <w:jc w:val="both"/>
      </w:pPr>
      <w:r w:rsidRPr="006967E0">
        <w:t xml:space="preserve">          8. При положительном решении комиссии МО об изменении (принятии) расходных обязательств дается поручение для подготовки муниципального правового акта в установленном порядке.</w:t>
      </w:r>
    </w:p>
    <w:p w14:paraId="132D4B63" w14:textId="77777777" w:rsidR="006C7F13" w:rsidRPr="006967E0" w:rsidRDefault="006C7F13">
      <w:pPr>
        <w:shd w:val="clear" w:color="auto" w:fill="FFFFFF"/>
        <w:jc w:val="both"/>
      </w:pPr>
    </w:p>
    <w:p w14:paraId="4BB1E36A" w14:textId="77777777" w:rsidR="006C7F13" w:rsidRPr="006967E0" w:rsidRDefault="0075149B">
      <w:pPr>
        <w:jc w:val="center"/>
        <w:rPr>
          <w:b/>
        </w:rPr>
      </w:pPr>
      <w:r w:rsidRPr="006967E0">
        <w:rPr>
          <w:b/>
          <w:lang w:val="en-US"/>
        </w:rPr>
        <w:t>V</w:t>
      </w:r>
      <w:r w:rsidRPr="006967E0">
        <w:rPr>
          <w:b/>
        </w:rPr>
        <w:t>. Исполнение принятых решений по изменению (принятию)</w:t>
      </w:r>
    </w:p>
    <w:p w14:paraId="026E3A2B" w14:textId="77777777" w:rsidR="006C7F13" w:rsidRPr="006967E0" w:rsidRDefault="0075149B">
      <w:pPr>
        <w:jc w:val="center"/>
        <w:rPr>
          <w:b/>
        </w:rPr>
      </w:pPr>
      <w:r w:rsidRPr="006967E0">
        <w:rPr>
          <w:b/>
        </w:rPr>
        <w:t xml:space="preserve"> расходных обязательств</w:t>
      </w:r>
    </w:p>
    <w:p w14:paraId="59BA433C" w14:textId="77777777" w:rsidR="006C7F13" w:rsidRPr="006967E0" w:rsidRDefault="006C7F13">
      <w:pPr>
        <w:shd w:val="clear" w:color="auto" w:fill="FFFFFF"/>
        <w:jc w:val="both"/>
      </w:pPr>
    </w:p>
    <w:p w14:paraId="59B236CE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 xml:space="preserve"> 9. Внесение изменений и уточнений в реестр расходных обязательств МО производится уполномоченным органом местного самоуправления в 10-дневный срок после дня официального опубликования (обнародования) соответствующих нормативных правовых актов.</w:t>
      </w:r>
    </w:p>
    <w:p w14:paraId="24ED5DCC" w14:textId="77777777" w:rsidR="006C7F13" w:rsidRPr="006967E0" w:rsidRDefault="0075149B">
      <w:pPr>
        <w:shd w:val="clear" w:color="auto" w:fill="FFFFFF"/>
        <w:jc w:val="both"/>
      </w:pPr>
      <w:r w:rsidRPr="006967E0">
        <w:rPr>
          <w:bCs/>
        </w:rPr>
        <w:lastRenderedPageBreak/>
        <w:t xml:space="preserve">          10. При установлении расходных обязательств, принятых без </w:t>
      </w:r>
      <w:r w:rsidRPr="006967E0">
        <w:t xml:space="preserve">источника финансирования и (или) при наличии просроченных действующих обязательств, проводится служебное расследование (в порядке, установленном МО), результаты которого рассматриваются на комиссии МО для принятия мер ответственности к должностным лицам в соответствии с действующим законодательством.  </w:t>
      </w:r>
    </w:p>
    <w:p w14:paraId="4134103C" w14:textId="77777777" w:rsidR="006C7F13" w:rsidRPr="006967E0" w:rsidRDefault="0075149B">
      <w:pPr>
        <w:shd w:val="clear" w:color="auto" w:fill="FFFFFF"/>
        <w:ind w:firstLine="675"/>
        <w:jc w:val="both"/>
      </w:pPr>
      <w:r w:rsidRPr="006967E0">
        <w:t xml:space="preserve">11. Принятие бюджетных и денежных обязательств осуществляется в соответствии с порядками, установленными муниципальным образованием, с учетом приоритетности по погашению кредиторской задолженности действующих расходных обязательств. </w:t>
      </w:r>
    </w:p>
    <w:p w14:paraId="055F9F53" w14:textId="77777777" w:rsidR="006C7F13" w:rsidRPr="006967E0" w:rsidRDefault="006C7F13">
      <w:pPr>
        <w:rPr>
          <w:b/>
          <w:bCs/>
        </w:rPr>
      </w:pPr>
      <w:bookmarkStart w:id="0" w:name="_GoBack"/>
      <w:bookmarkEnd w:id="0"/>
    </w:p>
    <w:sectPr w:rsidR="006C7F13" w:rsidRPr="006967E0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C6CA7" w14:textId="77777777" w:rsidR="005243AC" w:rsidRDefault="005243AC">
      <w:r>
        <w:separator/>
      </w:r>
    </w:p>
  </w:endnote>
  <w:endnote w:type="continuationSeparator" w:id="0">
    <w:p w14:paraId="76D4D110" w14:textId="77777777" w:rsidR="005243AC" w:rsidRDefault="0052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0DDF3" w14:textId="77777777" w:rsidR="005243AC" w:rsidRDefault="005243AC">
      <w:r>
        <w:separator/>
      </w:r>
    </w:p>
  </w:footnote>
  <w:footnote w:type="continuationSeparator" w:id="0">
    <w:p w14:paraId="75FFA291" w14:textId="77777777" w:rsidR="005243AC" w:rsidRDefault="0052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4E7F" w14:textId="77777777" w:rsidR="006C7F13" w:rsidRDefault="0075149B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B832E15" w14:textId="77777777" w:rsidR="006C7F13" w:rsidRDefault="006C7F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8BE" w14:textId="77777777" w:rsidR="006C7F13" w:rsidRDefault="0075149B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5</w:t>
    </w:r>
    <w:r>
      <w:rPr>
        <w:rStyle w:val="af8"/>
      </w:rPr>
      <w:fldChar w:fldCharType="end"/>
    </w:r>
  </w:p>
  <w:p w14:paraId="1B330876" w14:textId="77777777" w:rsidR="006C7F13" w:rsidRDefault="006C7F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08AD"/>
    <w:multiLevelType w:val="hybridMultilevel"/>
    <w:tmpl w:val="F23C79DA"/>
    <w:lvl w:ilvl="0" w:tplc="020E15C2">
      <w:start w:val="1"/>
      <w:numFmt w:val="decimal"/>
      <w:lvlText w:val="%1."/>
      <w:lvlJc w:val="left"/>
      <w:pPr>
        <w:ind w:left="1710" w:hanging="360"/>
      </w:pPr>
    </w:lvl>
    <w:lvl w:ilvl="1" w:tplc="389E5512">
      <w:start w:val="1"/>
      <w:numFmt w:val="lowerLetter"/>
      <w:lvlText w:val="%2."/>
      <w:lvlJc w:val="left"/>
      <w:pPr>
        <w:ind w:left="2430" w:hanging="360"/>
      </w:pPr>
    </w:lvl>
    <w:lvl w:ilvl="2" w:tplc="1198509A">
      <w:start w:val="1"/>
      <w:numFmt w:val="lowerRoman"/>
      <w:lvlText w:val="%3."/>
      <w:lvlJc w:val="right"/>
      <w:pPr>
        <w:ind w:left="3150" w:hanging="180"/>
      </w:pPr>
    </w:lvl>
    <w:lvl w:ilvl="3" w:tplc="9EE2AA20">
      <w:start w:val="1"/>
      <w:numFmt w:val="decimal"/>
      <w:lvlText w:val="%4."/>
      <w:lvlJc w:val="left"/>
      <w:pPr>
        <w:ind w:left="3870" w:hanging="360"/>
      </w:pPr>
    </w:lvl>
    <w:lvl w:ilvl="4" w:tplc="3EAA71A6">
      <w:start w:val="1"/>
      <w:numFmt w:val="lowerLetter"/>
      <w:lvlText w:val="%5."/>
      <w:lvlJc w:val="left"/>
      <w:pPr>
        <w:ind w:left="4590" w:hanging="360"/>
      </w:pPr>
    </w:lvl>
    <w:lvl w:ilvl="5" w:tplc="53C66796">
      <w:start w:val="1"/>
      <w:numFmt w:val="lowerRoman"/>
      <w:lvlText w:val="%6."/>
      <w:lvlJc w:val="right"/>
      <w:pPr>
        <w:ind w:left="5310" w:hanging="180"/>
      </w:pPr>
    </w:lvl>
    <w:lvl w:ilvl="6" w:tplc="797888DE">
      <w:start w:val="1"/>
      <w:numFmt w:val="decimal"/>
      <w:lvlText w:val="%7."/>
      <w:lvlJc w:val="left"/>
      <w:pPr>
        <w:ind w:left="6030" w:hanging="360"/>
      </w:pPr>
    </w:lvl>
    <w:lvl w:ilvl="7" w:tplc="2D240DAA">
      <w:start w:val="1"/>
      <w:numFmt w:val="lowerLetter"/>
      <w:lvlText w:val="%8."/>
      <w:lvlJc w:val="left"/>
      <w:pPr>
        <w:ind w:left="6750" w:hanging="360"/>
      </w:pPr>
    </w:lvl>
    <w:lvl w:ilvl="8" w:tplc="B4964B42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4643DEC"/>
    <w:multiLevelType w:val="hybridMultilevel"/>
    <w:tmpl w:val="72E07E1A"/>
    <w:lvl w:ilvl="0" w:tplc="4A10D9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6321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61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25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A8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AB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67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02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22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06EBB"/>
    <w:multiLevelType w:val="hybridMultilevel"/>
    <w:tmpl w:val="9934E3C2"/>
    <w:lvl w:ilvl="0" w:tplc="1DB040AC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6DDACE46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E74AAD5C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823A98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4E5C746E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F6CC26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70AE4B18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60B09EAC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BDFCE814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" w15:restartNumberingAfterBreak="0">
    <w:nsid w:val="3AE77032"/>
    <w:multiLevelType w:val="hybridMultilevel"/>
    <w:tmpl w:val="09F410A2"/>
    <w:lvl w:ilvl="0" w:tplc="735E4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60AD774">
      <w:start w:val="1"/>
      <w:numFmt w:val="lowerLetter"/>
      <w:lvlText w:val="%2."/>
      <w:lvlJc w:val="left"/>
      <w:pPr>
        <w:ind w:left="1789" w:hanging="360"/>
      </w:pPr>
    </w:lvl>
    <w:lvl w:ilvl="2" w:tplc="120E28C4">
      <w:start w:val="1"/>
      <w:numFmt w:val="lowerRoman"/>
      <w:lvlText w:val="%3."/>
      <w:lvlJc w:val="right"/>
      <w:pPr>
        <w:ind w:left="2509" w:hanging="180"/>
      </w:pPr>
    </w:lvl>
    <w:lvl w:ilvl="3" w:tplc="584E1B9A">
      <w:start w:val="1"/>
      <w:numFmt w:val="decimal"/>
      <w:lvlText w:val="%4."/>
      <w:lvlJc w:val="left"/>
      <w:pPr>
        <w:ind w:left="3229" w:hanging="360"/>
      </w:pPr>
    </w:lvl>
    <w:lvl w:ilvl="4" w:tplc="4A8C5A74">
      <w:start w:val="1"/>
      <w:numFmt w:val="lowerLetter"/>
      <w:lvlText w:val="%5."/>
      <w:lvlJc w:val="left"/>
      <w:pPr>
        <w:ind w:left="3949" w:hanging="360"/>
      </w:pPr>
    </w:lvl>
    <w:lvl w:ilvl="5" w:tplc="94E6D93C">
      <w:start w:val="1"/>
      <w:numFmt w:val="lowerRoman"/>
      <w:lvlText w:val="%6."/>
      <w:lvlJc w:val="right"/>
      <w:pPr>
        <w:ind w:left="4669" w:hanging="180"/>
      </w:pPr>
    </w:lvl>
    <w:lvl w:ilvl="6" w:tplc="6C5C7EFE">
      <w:start w:val="1"/>
      <w:numFmt w:val="decimal"/>
      <w:lvlText w:val="%7."/>
      <w:lvlJc w:val="left"/>
      <w:pPr>
        <w:ind w:left="5389" w:hanging="360"/>
      </w:pPr>
    </w:lvl>
    <w:lvl w:ilvl="7" w:tplc="4B9055CE">
      <w:start w:val="1"/>
      <w:numFmt w:val="lowerLetter"/>
      <w:lvlText w:val="%8."/>
      <w:lvlJc w:val="left"/>
      <w:pPr>
        <w:ind w:left="6109" w:hanging="360"/>
      </w:pPr>
    </w:lvl>
    <w:lvl w:ilvl="8" w:tplc="4FA2817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D72B43"/>
    <w:multiLevelType w:val="multilevel"/>
    <w:tmpl w:val="0BEA792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5" w:hanging="2160"/>
      </w:pPr>
      <w:rPr>
        <w:rFonts w:hint="default"/>
      </w:rPr>
    </w:lvl>
  </w:abstractNum>
  <w:abstractNum w:abstractNumId="5" w15:restartNumberingAfterBreak="0">
    <w:nsid w:val="690C3DF4"/>
    <w:multiLevelType w:val="hybridMultilevel"/>
    <w:tmpl w:val="D99A609A"/>
    <w:lvl w:ilvl="0" w:tplc="53DC8C4C">
      <w:start w:val="1"/>
      <w:numFmt w:val="decimal"/>
      <w:lvlText w:val="%1)"/>
      <w:lvlJc w:val="left"/>
      <w:pPr>
        <w:ind w:left="1559" w:hanging="360"/>
      </w:pPr>
    </w:lvl>
    <w:lvl w:ilvl="1" w:tplc="B656A038">
      <w:start w:val="1"/>
      <w:numFmt w:val="lowerLetter"/>
      <w:lvlText w:val="%2."/>
      <w:lvlJc w:val="left"/>
      <w:pPr>
        <w:ind w:left="2279" w:hanging="360"/>
      </w:pPr>
    </w:lvl>
    <w:lvl w:ilvl="2" w:tplc="32EA98BE">
      <w:start w:val="1"/>
      <w:numFmt w:val="lowerRoman"/>
      <w:lvlText w:val="%3."/>
      <w:lvlJc w:val="right"/>
      <w:pPr>
        <w:ind w:left="2999" w:hanging="180"/>
      </w:pPr>
    </w:lvl>
    <w:lvl w:ilvl="3" w:tplc="507E460C">
      <w:start w:val="1"/>
      <w:numFmt w:val="decimal"/>
      <w:lvlText w:val="%4."/>
      <w:lvlJc w:val="left"/>
      <w:pPr>
        <w:ind w:left="3719" w:hanging="360"/>
      </w:pPr>
    </w:lvl>
    <w:lvl w:ilvl="4" w:tplc="A506813C">
      <w:start w:val="1"/>
      <w:numFmt w:val="lowerLetter"/>
      <w:lvlText w:val="%5."/>
      <w:lvlJc w:val="left"/>
      <w:pPr>
        <w:ind w:left="4439" w:hanging="360"/>
      </w:pPr>
    </w:lvl>
    <w:lvl w:ilvl="5" w:tplc="37DC8064">
      <w:start w:val="1"/>
      <w:numFmt w:val="lowerRoman"/>
      <w:lvlText w:val="%6."/>
      <w:lvlJc w:val="right"/>
      <w:pPr>
        <w:ind w:left="5159" w:hanging="180"/>
      </w:pPr>
    </w:lvl>
    <w:lvl w:ilvl="6" w:tplc="F44E0CE0">
      <w:start w:val="1"/>
      <w:numFmt w:val="decimal"/>
      <w:lvlText w:val="%7."/>
      <w:lvlJc w:val="left"/>
      <w:pPr>
        <w:ind w:left="5879" w:hanging="360"/>
      </w:pPr>
    </w:lvl>
    <w:lvl w:ilvl="7" w:tplc="507035DA">
      <w:start w:val="1"/>
      <w:numFmt w:val="lowerLetter"/>
      <w:lvlText w:val="%8."/>
      <w:lvlJc w:val="left"/>
      <w:pPr>
        <w:ind w:left="6599" w:hanging="360"/>
      </w:pPr>
    </w:lvl>
    <w:lvl w:ilvl="8" w:tplc="52B4536C">
      <w:start w:val="1"/>
      <w:numFmt w:val="lowerRoman"/>
      <w:lvlText w:val="%9."/>
      <w:lvlJc w:val="right"/>
      <w:pPr>
        <w:ind w:left="7319" w:hanging="180"/>
      </w:pPr>
    </w:lvl>
  </w:abstractNum>
  <w:abstractNum w:abstractNumId="6" w15:restartNumberingAfterBreak="0">
    <w:nsid w:val="6F513FAC"/>
    <w:multiLevelType w:val="hybridMultilevel"/>
    <w:tmpl w:val="F472721C"/>
    <w:lvl w:ilvl="0" w:tplc="FFF28E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8C0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81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0D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2F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85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81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AE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A2544"/>
    <w:multiLevelType w:val="hybridMultilevel"/>
    <w:tmpl w:val="D99CEA76"/>
    <w:lvl w:ilvl="0" w:tplc="4A46F686">
      <w:start w:val="1"/>
      <w:numFmt w:val="decimal"/>
      <w:lvlText w:val="%1."/>
      <w:lvlJc w:val="left"/>
      <w:pPr>
        <w:ind w:left="720" w:hanging="360"/>
      </w:pPr>
    </w:lvl>
    <w:lvl w:ilvl="1" w:tplc="333CCF54">
      <w:start w:val="1"/>
      <w:numFmt w:val="lowerLetter"/>
      <w:lvlText w:val="%2."/>
      <w:lvlJc w:val="left"/>
      <w:pPr>
        <w:ind w:left="1440" w:hanging="360"/>
      </w:pPr>
    </w:lvl>
    <w:lvl w:ilvl="2" w:tplc="8140E180">
      <w:start w:val="1"/>
      <w:numFmt w:val="lowerRoman"/>
      <w:lvlText w:val="%3."/>
      <w:lvlJc w:val="right"/>
      <w:pPr>
        <w:ind w:left="2160" w:hanging="180"/>
      </w:pPr>
    </w:lvl>
    <w:lvl w:ilvl="3" w:tplc="72AE1248">
      <w:start w:val="1"/>
      <w:numFmt w:val="decimal"/>
      <w:lvlText w:val="%4."/>
      <w:lvlJc w:val="left"/>
      <w:pPr>
        <w:ind w:left="2880" w:hanging="360"/>
      </w:pPr>
    </w:lvl>
    <w:lvl w:ilvl="4" w:tplc="D4D2379A">
      <w:start w:val="1"/>
      <w:numFmt w:val="lowerLetter"/>
      <w:lvlText w:val="%5."/>
      <w:lvlJc w:val="left"/>
      <w:pPr>
        <w:ind w:left="3600" w:hanging="360"/>
      </w:pPr>
    </w:lvl>
    <w:lvl w:ilvl="5" w:tplc="5F4675F2">
      <w:start w:val="1"/>
      <w:numFmt w:val="lowerRoman"/>
      <w:lvlText w:val="%6."/>
      <w:lvlJc w:val="right"/>
      <w:pPr>
        <w:ind w:left="4320" w:hanging="180"/>
      </w:pPr>
    </w:lvl>
    <w:lvl w:ilvl="6" w:tplc="6608B47C">
      <w:start w:val="1"/>
      <w:numFmt w:val="decimal"/>
      <w:lvlText w:val="%7."/>
      <w:lvlJc w:val="left"/>
      <w:pPr>
        <w:ind w:left="5040" w:hanging="360"/>
      </w:pPr>
    </w:lvl>
    <w:lvl w:ilvl="7" w:tplc="AF56026C">
      <w:start w:val="1"/>
      <w:numFmt w:val="lowerLetter"/>
      <w:lvlText w:val="%8."/>
      <w:lvlJc w:val="left"/>
      <w:pPr>
        <w:ind w:left="5760" w:hanging="360"/>
      </w:pPr>
    </w:lvl>
    <w:lvl w:ilvl="8" w:tplc="3F9489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2D9D"/>
    <w:multiLevelType w:val="hybridMultilevel"/>
    <w:tmpl w:val="4086E70C"/>
    <w:lvl w:ilvl="0" w:tplc="72EE8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EC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C6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E9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46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2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28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2B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C7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13"/>
    <w:rsid w:val="004956D9"/>
    <w:rsid w:val="005243AC"/>
    <w:rsid w:val="006967E0"/>
    <w:rsid w:val="006C7F13"/>
    <w:rsid w:val="007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46F5"/>
  <w15:docId w15:val="{77EDCDF3-C136-45EC-BCDB-2CB35CF2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6">
    <w:name w:val="Hyperlink"/>
    <w:basedOn w:val="a0"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character" w:styleId="af7">
    <w:name w:val="footnote reference"/>
    <w:basedOn w:val="a0"/>
    <w:semiHidden/>
    <w:rPr>
      <w:vertAlign w:val="superscript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Основной текст_"/>
    <w:basedOn w:val="a0"/>
    <w:link w:val="13"/>
    <w:rPr>
      <w:sz w:val="31"/>
      <w:szCs w:val="31"/>
      <w:lang w:bidi="ar-SA"/>
    </w:rPr>
  </w:style>
  <w:style w:type="paragraph" w:customStyle="1" w:styleId="13">
    <w:name w:val="Основной текст1"/>
    <w:basedOn w:val="a"/>
    <w:link w:val="afa"/>
    <w:pPr>
      <w:widowControl w:val="0"/>
      <w:shd w:val="clear" w:color="auto" w:fill="FFFFFF"/>
      <w:spacing w:before="120" w:after="1440" w:line="300" w:lineRule="exact"/>
      <w:ind w:hanging="1640"/>
    </w:pPr>
    <w:rPr>
      <w:sz w:val="31"/>
      <w:szCs w:val="31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8"/>
      <w:szCs w:val="28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styleId="HTML">
    <w:name w:val="HTML Cite"/>
    <w:uiPriority w:val="99"/>
    <w:unhideWhenUsed/>
    <w:rPr>
      <w:i w:val="0"/>
      <w:iCs w:val="0"/>
      <w:color w:val="006D21"/>
    </w:rPr>
  </w:style>
  <w:style w:type="paragraph" w:styleId="aff">
    <w:name w:val="Body Text"/>
    <w:basedOn w:val="a"/>
    <w:link w:val="aff0"/>
    <w:rPr>
      <w:szCs w:val="20"/>
    </w:rPr>
  </w:style>
  <w:style w:type="character" w:customStyle="1" w:styleId="aff0">
    <w:name w:val="Основной текст Знак"/>
    <w:basedOn w:val="a0"/>
    <w:link w:val="aff"/>
    <w:rPr>
      <w:sz w:val="28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840" w:after="240" w:line="0" w:lineRule="atLeast"/>
      <w:jc w:val="center"/>
    </w:pPr>
    <w:rPr>
      <w:spacing w:val="7"/>
      <w:sz w:val="21"/>
      <w:szCs w:val="21"/>
      <w:lang w:eastAsia="en-US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3"/>
    <w:basedOn w:val="a"/>
    <w:link w:val="34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Pr>
      <w:sz w:val="16"/>
      <w:szCs w:val="16"/>
    </w:rPr>
  </w:style>
  <w:style w:type="paragraph" w:styleId="aff2">
    <w:name w:val="Body Text Indent"/>
    <w:basedOn w:val="a"/>
    <w:link w:val="aff3"/>
    <w:pPr>
      <w:spacing w:after="120"/>
      <w:ind w:left="283"/>
    </w:pPr>
    <w:rPr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rPr>
      <w:sz w:val="24"/>
      <w:szCs w:val="24"/>
    </w:rPr>
  </w:style>
  <w:style w:type="paragraph" w:styleId="aff4">
    <w:name w:val="Document Map"/>
    <w:basedOn w:val="a"/>
    <w:link w:val="aff5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6">
    <w:name w:val="Emphasis"/>
    <w:basedOn w:val="a0"/>
    <w:uiPriority w:val="20"/>
    <w:qFormat/>
    <w:rPr>
      <w:i/>
      <w:iCs/>
    </w:rPr>
  </w:style>
  <w:style w:type="character" w:customStyle="1" w:styleId="35">
    <w:name w:val="Основной текст (3)"/>
    <w:uiPriority w:val="99"/>
  </w:style>
  <w:style w:type="character" w:customStyle="1" w:styleId="pre">
    <w:name w:val="pr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82C47-A9EA-417C-A27E-6ADE81A4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6595</Characters>
  <Application>Microsoft Office Word</Application>
  <DocSecurity>0</DocSecurity>
  <Lines>54</Lines>
  <Paragraphs>15</Paragraphs>
  <ScaleCrop>false</ScaleCrop>
  <Company>2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</dc:title>
  <dc:creator>station61</dc:creator>
  <cp:lastModifiedBy>Миронова Лариса Радиковна</cp:lastModifiedBy>
  <cp:revision>3</cp:revision>
  <dcterms:created xsi:type="dcterms:W3CDTF">2024-10-30T22:55:00Z</dcterms:created>
  <dcterms:modified xsi:type="dcterms:W3CDTF">2024-10-30T22:58:00Z</dcterms:modified>
</cp:coreProperties>
</file>