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A4" w:rsidRPr="00D915A4" w:rsidRDefault="00D915A4" w:rsidP="00D91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15A4">
        <w:rPr>
          <w:rFonts w:ascii="Times New Roman" w:hAnsi="Times New Roman" w:cs="Times New Roman"/>
          <w:b/>
          <w:sz w:val="28"/>
        </w:rPr>
        <w:t>Информация Министерства природных ресурсов Забайкальского края о реализации национальных проектов на территории Забайкальского края</w:t>
      </w:r>
      <w:r w:rsidR="00FA16F2">
        <w:rPr>
          <w:rFonts w:ascii="Times New Roman" w:hAnsi="Times New Roman" w:cs="Times New Roman"/>
          <w:b/>
          <w:sz w:val="28"/>
        </w:rPr>
        <w:t xml:space="preserve"> в 202</w:t>
      </w:r>
      <w:r w:rsidR="00D84D32">
        <w:rPr>
          <w:rFonts w:ascii="Times New Roman" w:hAnsi="Times New Roman" w:cs="Times New Roman"/>
          <w:b/>
          <w:sz w:val="28"/>
        </w:rPr>
        <w:t>4</w:t>
      </w:r>
      <w:r w:rsidR="00FA16F2">
        <w:rPr>
          <w:rFonts w:ascii="Times New Roman" w:hAnsi="Times New Roman" w:cs="Times New Roman"/>
          <w:b/>
          <w:sz w:val="28"/>
        </w:rPr>
        <w:t xml:space="preserve"> году</w:t>
      </w:r>
    </w:p>
    <w:p w:rsidR="00D915A4" w:rsidRDefault="00D915A4" w:rsidP="00426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AE1BEC" w:rsidRDefault="00AE1BE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«Комплексная система обращения с твердыми коммунальными отходами»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D6B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«Чистая страна»</w:t>
      </w:r>
    </w:p>
    <w:p w:rsidR="00AE1BEC" w:rsidRDefault="00AE1BE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D6B7C" w:rsidRPr="00AE1BE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Забайкальский край явля</w:t>
      </w:r>
      <w:r w:rsidR="00AE1BEC"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>лся</w:t>
      </w:r>
      <w:r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участником федеральных проектов «Комплексная система обращения с твердыми коммунальными отходами» и «Чистая страна» национального проекта «Экология»</w:t>
      </w:r>
      <w:r w:rsidR="00AE1BEC"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сроком </w:t>
      </w:r>
      <w:r w:rsidR="00AE1BEC"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AE1BEC">
        <w:rPr>
          <w:rFonts w:ascii="Times New Roman" w:eastAsia="Calibri" w:hAnsi="Times New Roman" w:cs="Times New Roman"/>
          <w:sz w:val="28"/>
          <w:szCs w:val="28"/>
          <w:lang w:eastAsia="ru-RU"/>
        </w:rPr>
        <w:t>до конца 2024 года.</w:t>
      </w:r>
      <w:bookmarkStart w:id="0" w:name="_GoBack"/>
      <w:bookmarkEnd w:id="0"/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Паспортом федерального проекта «Чистая страна» национального проекта «Экология» для Забайкальского края были установлены следующие плановые значения целевых показателей: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– численность населения, качество жизни которого улучшится в связи с ликвидацией несанкционированных свалок в границах городов – 44,04 тыс. чел;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– количество ликвидированных несанкционированных свалок в границах городов – 3 шт.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достижения установленных значений целевых показателей федерального проекта «Чистая страна» до 31 декабря 2024 года предусмотрена ликвидация 3 несанкционированных свалок: 2 шт. в г. Борзя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в 1 шт. в г. Нерчинск.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по ликвидации свалки № 1 в г. Борзя площадью 10,9 га начаты 14 марта 2022 года и завершены 5 июня 2023 года. Средства федерального и регионального бюджетов в размере 605 млн. руб., выделенные на 2022-2023 годы, освоены в полном объеме. Исполнителем основных работ по объекту «Рекультивация свалки ТКО в г. Борзя» является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Автолидер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» (г. Москва), ИНН 7536119265.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28 июня 2023 года получено экспертное заключение ЦЛАТИ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</w:t>
      </w:r>
      <w:proofErr w:type="gramStart"/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Восточно-Сибирскому</w:t>
      </w:r>
      <w:proofErr w:type="gramEnd"/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региону о соответствии исследованных проб подземной воды, атмосферного воздуха и почвы санитарным нормам, об отсутствии превышения концентраций загрязняющих веществ на объекте. Акт приемки выполненных работ подписан 29 июня 2023 года.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по ликвидации свалки в г. Борзя-</w:t>
      </w:r>
      <w:r w:rsidRPr="002D6B7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 площадью 5,9 га начаты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 марта 2023 года, завершены 26 июня 2023 года с опережением установленных государственным контрактом сроков (по плану – 1 октября 2023 года). Средства федерального и регионального бюджетов в размере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143 млн. руб., выделенные на 2022-2023 годы, освоены в полном объеме.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Исполнителем основных работ по объекту «Рекультивация несанкционированной свалки ТКО в г. Борзя-II этап» является АО «Полигон» (г. Томск), ИНН 7020031715.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июля 2023 года получено экспертное заключения ЦЛАТИ по Томской области о соответствии исследованных проб атмосферного воздуха и почвы </w:t>
      </w: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санитарным нормам, об отсутствии превышения концентраций загрязняющих веществ на объекте. Акт приемки выполненных работ подписан 28 июля 2023 года.</w:t>
      </w:r>
    </w:p>
    <w:p w:rsidR="002D6B7C" w:rsidRPr="002D6B7C" w:rsidRDefault="002D6B7C" w:rsidP="002D6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7C">
        <w:rPr>
          <w:rFonts w:ascii="Times New Roman" w:eastAsia="Times New Roman" w:hAnsi="Times New Roman" w:cs="Times New Roman"/>
          <w:sz w:val="28"/>
          <w:szCs w:val="28"/>
        </w:rPr>
        <w:t>3 марта 2023 года заключен государственный контракт на рекультивацию несанкционированной свалки в г. Нерчинск площадью 68,4 га</w:t>
      </w:r>
      <w:proofErr w:type="gramStart"/>
      <w:r w:rsidRPr="002D6B7C">
        <w:rPr>
          <w:rFonts w:ascii="Times New Roman" w:eastAsia="Times New Roman" w:hAnsi="Times New Roman" w:cs="Times New Roman"/>
          <w:sz w:val="28"/>
          <w:szCs w:val="28"/>
        </w:rPr>
        <w:t>. со</w:t>
      </w:r>
      <w:proofErr w:type="gramEnd"/>
      <w:r w:rsidRPr="002D6B7C">
        <w:rPr>
          <w:rFonts w:ascii="Times New Roman" w:eastAsia="Times New Roman" w:hAnsi="Times New Roman" w:cs="Times New Roman"/>
          <w:sz w:val="28"/>
          <w:szCs w:val="28"/>
        </w:rPr>
        <w:t xml:space="preserve"> сроком исполнения работ до 1 октября 2024 года. 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на объекте «Несанкционированная свалка твердых коммунальных отходов в г. Нерчинск» завершены 1 октября 2024 года.</w:t>
      </w:r>
    </w:p>
    <w:p w:rsidR="002D6B7C" w:rsidRPr="002D6B7C" w:rsidRDefault="002D6B7C" w:rsidP="002D6B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B7C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Исполнителем основных работ по объекту «Рекультивация несанкционированной свалки ТКО в г. Нерчинск» является АО «Полигон» (г. Томск), ИНН 7020031715.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Представителями Филиала «ЦЛАТИ по Томской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B7C">
        <w:rPr>
          <w:rFonts w:ascii="Times New Roman" w:eastAsia="Calibri" w:hAnsi="Times New Roman" w:cs="Times New Roman"/>
          <w:sz w:val="28"/>
          <w:szCs w:val="28"/>
        </w:rPr>
        <w:t>ГБУ «ЦЛАТИ по СФО» 5-6 октября 2024 года проведены итоговые инженерно-геодезические работы и работы по отбору проб и проведению испытаний (измерений) в период после окончания работ по рекультивации объекта.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5 ноября 2024 года поступили экспертные заключения по результатам проведения обследования объекта накопленного вреда окружающей среде на состояние окружающей среды в рамках федерального проекта «Чистая страна» – «Рекультивация несанкционированной свалки ТКО в г. Нерчинск» о соответствии исследованных проб атмосферного воздуха и почвы санитарным нормам, об отсутствии превышения концентраций загрязняющих веществ на объекте. Акт приемки выполненных работ подписан 19 ноября 2024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Правительством Забайкальского края обеспечено своевременное завершение работ по ликвидации 2 несанкционированных свалок в г. Борзя и 1 свалки в г. Нерчинск, включенных в федеральный проект.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Целевые показатели, установленные Забайкальскому краю на 2023 и 2024 гг. по региональному проекту «Чистая страна (Забайкальский край)», достигнуты.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Касательно установленных показателей по региональному проекту «Комплексная система обращения с твердыми коммунальными отходами (Забайкальский край)» сообщаем следующее.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Между Мин</w:t>
      </w:r>
      <w:r w:rsidR="009D7550">
        <w:rPr>
          <w:rFonts w:ascii="Times New Roman" w:eastAsia="Calibri" w:hAnsi="Times New Roman" w:cs="Times New Roman"/>
          <w:sz w:val="28"/>
          <w:szCs w:val="28"/>
        </w:rPr>
        <w:t xml:space="preserve">истерством природных ресурсов </w:t>
      </w:r>
      <w:r w:rsidRPr="002D6B7C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9D7550">
        <w:rPr>
          <w:rFonts w:ascii="Times New Roman" w:eastAsia="Calibri" w:hAnsi="Times New Roman" w:cs="Times New Roman"/>
          <w:sz w:val="28"/>
          <w:szCs w:val="28"/>
        </w:rPr>
        <w:t xml:space="preserve"> (далее-Министерство)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и ППК «Российский экологический оператор» заключено Соглашение о реализации регионального проекта «Комплексная система обращения с твердыми коммунальными отходами (Забайкальский край)», предусматривающее для Забайкальского края следующие значения целевых показателей следующие плановые значения целевых показателей: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B7C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направленных на захоронение твердых коммунальных отходов,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 xml:space="preserve">в том числе прошедших обработку (сортировку), в общей массе образованных твердых коммунальных отходов – 99,8%;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B7C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массе образованных твердых коммунальных отходов – 0,2%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B7C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твердых коммунальных отходов, направленных на обработку (сортировку), в общей массе образованных твердых коммунальных отходов – 3,6%;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6B7C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импорта оборудования для обработки и утилизации твердых коммунальных отходов – 36%.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Целевые показатели, установленные Забайкальскому краю на 2024 г. по региональному проекту «Комплексная система обращения с твердыми коммунальными отходами (Забайкальский край)», достигнуты.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Достижение указанных выше плановых значений показателей обе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печивается обращением с ТКО, на мусоросортировочном заводе в г. Чита (Сухая Падь), который введен в эксплуатацию 31 марта 2022 года.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С 1 апреля 2022 года по 31 декабря 2022 года обеспечена обработка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 xml:space="preserve">11 тыс. тонн ТКО, на утилизацию направлено 364 тонны вторичных материальных ресурсов.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2023 году на заводе обработано 10,82 тыс. тонн ТКО, на утилизацию направлено 618 тонн вторичных ресурсов.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2024 году обработано – 11,81 тыс. тонн ТКО, утилизировано – 897 тонн вторичных материальных ресурсов.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Одновременно </w:t>
      </w:r>
      <w:r w:rsidR="009D755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Pr="002D6B7C">
        <w:rPr>
          <w:rFonts w:ascii="Times New Roman" w:eastAsia="Calibri" w:hAnsi="Times New Roman" w:cs="Times New Roman"/>
          <w:sz w:val="28"/>
          <w:szCs w:val="28"/>
        </w:rPr>
        <w:t>обеспечивается создание объектов, обеспечивающих обработку (сортировку), утилизацию и захоронение ТКО 17 ноября 2022 года между Минприроды Забайкальского края и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(ИНН 7536183172) заключены концессионные соглашения в отношении следующих объектов: «Комплекс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по переработке ТКО в Улётовском районе», «Комплекс по переработке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ТКО Петровск-Забайкальском районе», «Комплекс по переработке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ТКО Чернышевском районе», и 17 февраля 2023 года между М</w:t>
      </w:r>
      <w:r w:rsidR="009D7550">
        <w:rPr>
          <w:rFonts w:ascii="Times New Roman" w:eastAsia="Calibri" w:hAnsi="Times New Roman" w:cs="Times New Roman"/>
          <w:sz w:val="28"/>
          <w:szCs w:val="28"/>
        </w:rPr>
        <w:t>инистерством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и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Экопромсортировка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(ИНН 7530016672) заключено концессионное соглашение в отношении объекта «Комплекс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по сортировке ТКО в Краснокаменском районе».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самоуправления, на территории которых планируется создание КПО, проведена работа по выбору и оформлению земельных участков для строительства КПО.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комплексу по переработке ТКО (далее – КПО) в Петровск-Забайкальском районе – 7 февраля 2023 года между Департаментом государственного имущества и земельных отношений Забайкальского края и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был заключен договор аренды земельного участка с кадастровым номером 75:16:360201:220.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Однако, учитывая несогласие жителей поселения со строительством объекта на территории в связи с его близостью к месту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молебена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Обоо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7 июля 2023 года между Департаментом государственного имущества и земельных отношений Забайкальского края и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 заключено соглашение о расторжении договора аренды земельного участка с кадастровым номером 75:16:360201:220. Администрацией муниципального района «Петровск-Забайкальский район» проведена работа по выбору и оформлению другого земельного участка для строительства КПО.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30 января 2024 года обеспечена передача земельного участка с кадастровым номером 75:16:500101:320 в аренду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3 апреля 2024 года между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 и ООО «НПО «Лаборатория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Экоэнергетики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 заключен договор на выполнение проектно-изыскательских работ. Проектирование КПО до 26 февраля 2025 года.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рамках заключенного договора между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и ООО «НПО «Лаборатория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Экоэнергетики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на проведение проектно-изыскательских работ проведены инженерные изыскания, получено заключение государственной историко-культурной экспертизы, разработана проектная документация.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С 30 сентября 2024 года по 1 ноября 2024 года проведены общественные обсуждения объекта государственной экологической экспертизы (далее – ГЭЭ) проектной документации: «Комплекс по переработке твердых коммунальных отходов в Петровск-Забайкальском районе Забайкальского края, расположенный по адресу: Забайкальский край, Петровск-Забайкальский район,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к.н.у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. 75:16:500101:320», включая предварительные материалы оценки воздействия на окружающую среду.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срок приема замечаний и предложений поступило замечание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 xml:space="preserve">о несоответствии выбранного земельного участка требованиям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водоохранного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законодательства, а именно близкое расположение водных объектов: ручьев, реки. Указанные замечания приняты к сведению, нарушений не выявлено.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Направлен пакет документов направлен в 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Росприроднадзор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для проведения ГЭЭ, плановая выдача заключения – 13 марта 2025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КПО в Чернышевском районе – из-за объективных причин (результаты инженерно-геологических изысканий, проведенных на земельных участках в Чернышевском районе, ранее определенных для целей строительства КПО, и не соответствие размера санитарно-защитной зоны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от планируемого объекта до ближайшей застройки (483 метра), согласована позиция о локализации объекта на территории Нерчинского района.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района «Нерчинский район» определен земельный участок с кадастровым номером 75:12:420102:373.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13 октября 2023 года зарегистрировано право собственности Забайкальского края на указанный земельный участок.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7 декабря 2023 года земельный участок с кадастровым номером 75:12:420102:373 передан в пользование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29 октября 2024 года заключен договор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на выполнение работ по разработке проектной документации с ООО «Конструкторское бюро специального оборудования» со сроком исполнения 1 сентября 2025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настоящее время проводятся инженерные изыскания на земельном участке с кадастровым номером 75:12:420102:373.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КПО в Улётовском районе – 18 июля 2023 года земельный участок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с кадастровым номером 75:19:440204:409 передан по договору аренды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29 ноября 2023 года между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и ООО «Террикон» заключен договор на проектирование КПО. В августе 2024 года договор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на проектирование расторгнут по инициативе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8 августа 2024 года между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Экоресурс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и АО «КБСО» заключен договор на проектирование объекта, завершение работ – 20 августа 2025 года, строительство объекта и ввод в эксплуатацию – 2025-2026 годы.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Проведена историко-культурная экспертиза, в настоящее время проводятся инженерные изыскания на земельном участке с кадастровым номером 75:19:440204:409.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комплексу по сортировке ТКО в Краснокаменском районе – 28 марта 2023 года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Экопромсортировка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получено разрешение на строительство комплекса по сортировке ТКО. 17 июля 2023 года утвержденная проектно-сметная документация передана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Экопромсортировка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Строительство комплекса начато в 2023 году.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17 июня 2024 года от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Экопромсортировка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» поступило обращение о необходимости скорректировать разработанную проектную документацию объекта для проведения перерасчета стоимости строительства в ценах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2024 года в связи с конъюнктурным анализом стоимости материалов и работ.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состоянию на отчетную дату новая финансовая модель, представленная концессионером, находится на рассмотрении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 xml:space="preserve">в заинтересованных органах.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рамках исполнения пункта 1.6 Перечня поручений Председателя Правительства Российской Федерации Д.Н. Патрушева от 20 сентября 2024 г. № ДП-П11-31260 (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. 1600-П от 23 сентября 2024 г.) Ми</w:t>
      </w:r>
      <w:r w:rsidR="009D7550">
        <w:rPr>
          <w:rFonts w:ascii="Times New Roman" w:eastAsia="Calibri" w:hAnsi="Times New Roman" w:cs="Times New Roman"/>
          <w:sz w:val="28"/>
          <w:szCs w:val="28"/>
        </w:rPr>
        <w:t>нистерством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27 ноября 2024 года утвержден План мероприятий «дорожная карта» по реализации инвестиционных проектов в сфере обращения с твердыми коммунальными отходами на территории Забайкальского края (далее – План мероприятий).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соответствии с Планом мероприятий строительство объектов и ввод в эксплуатацию – 2026 год. Работа будет продолжена.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в бюджете края на 2024 год было предусмотрено финансирование в размере 6 млн. рублей на заключение государственного контракта по корректировке существующей территориальной схемы обращения с отходами Забайкальского края, утвержденной постановлением Правительства Забайкальского края от 16 сентября 2022 года № 411. 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рамках федерального закона от 5 апреля 2013 года № 44-ФЗ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B7C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для обеспечения государственных и муниципальных нужд» с соблюдением требований законодательства о контрактной системе 23 января 2024 года объявлен конкурсные процедуры на определение исполнителя работ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по корректировке территориальной схемы обращения с отходами Забайкальского края, в том числе её электронной модели.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результатам проведения конкурса между М</w:t>
      </w:r>
      <w:r w:rsidR="009D7550">
        <w:rPr>
          <w:rFonts w:ascii="Times New Roman" w:eastAsia="Calibri" w:hAnsi="Times New Roman" w:cs="Times New Roman"/>
          <w:sz w:val="28"/>
          <w:szCs w:val="28"/>
        </w:rPr>
        <w:t xml:space="preserve">инистерством </w:t>
      </w:r>
      <w:r w:rsidRPr="002D6B7C">
        <w:rPr>
          <w:rFonts w:ascii="Times New Roman" w:eastAsia="Calibri" w:hAnsi="Times New Roman" w:cs="Times New Roman"/>
          <w:sz w:val="28"/>
          <w:szCs w:val="28"/>
        </w:rPr>
        <w:t>и ООО «ЭТТОН ГРУПП» заключен государственный контракт от 26 февраля 2024 года № 3 на выполнение работ по корректировке территориальной схемы обращения с отходами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D6B7C">
        <w:rPr>
          <w:rFonts w:ascii="Times New Roman" w:eastAsia="Calibri" w:hAnsi="Times New Roman" w:cs="Times New Roman"/>
          <w:sz w:val="28"/>
          <w:szCs w:val="28"/>
        </w:rPr>
        <w:t>в том числе ее электронной модели (далее – Контракт), со сроком исполнения контракта до 1 сентября 2024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ООО «ЭТТОН ГРУП» в адрес Мин</w:t>
      </w:r>
      <w:r w:rsidR="009D7550">
        <w:rPr>
          <w:rFonts w:ascii="Times New Roman" w:eastAsia="Calibri" w:hAnsi="Times New Roman" w:cs="Times New Roman"/>
          <w:sz w:val="28"/>
          <w:szCs w:val="28"/>
        </w:rPr>
        <w:t>истерства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направлено письмо от 29 августа 2024 года исх. № 28/ЗТС (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. № 16168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от 2 октября 2024 года) о завершении работ и необходимости приемки работ согласно пункту 6.1 Контракта.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Мин</w:t>
      </w:r>
      <w:r w:rsidR="009D7550">
        <w:rPr>
          <w:rFonts w:ascii="Times New Roman" w:eastAsia="Calibri" w:hAnsi="Times New Roman" w:cs="Times New Roman"/>
          <w:sz w:val="28"/>
          <w:szCs w:val="28"/>
        </w:rPr>
        <w:t>истерство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по результату рассмотрения проекта территориальной схемы, разработанной ООО «ЭТТОН ГРУПП», выявлены ошибки, недочеты и замечания к проекту, о чем направлены письма в адрес ООО «ЭТТОН ГРУПП» согласно обнаруженным недостаткам: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По результату внесения корректировок работы по Контракту приняты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в полном объеме 14 октября 2024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Ми</w:t>
      </w:r>
      <w:r w:rsidR="009D7550">
        <w:rPr>
          <w:rFonts w:ascii="Times New Roman" w:eastAsia="Calibri" w:hAnsi="Times New Roman" w:cs="Times New Roman"/>
          <w:sz w:val="28"/>
          <w:szCs w:val="28"/>
        </w:rPr>
        <w:t>нистерством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проведено общественное обсуждение проекта территориальной схемы обращения с отходами Забайкальского края на официальном сайте Министерства в информационно-телекоммуникационной сети «Интернет» с 1 ноября 2024 года по 1 декабря 2024 года (включительно).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ходе общественного обсуждения в адрес Мин</w:t>
      </w:r>
      <w:r w:rsidR="009D7550">
        <w:rPr>
          <w:rFonts w:ascii="Times New Roman" w:eastAsia="Calibri" w:hAnsi="Times New Roman" w:cs="Times New Roman"/>
          <w:sz w:val="28"/>
          <w:szCs w:val="28"/>
        </w:rPr>
        <w:t>истерства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поступили в установленный пунктом 23 Правил срок</w:t>
      </w:r>
      <w:r w:rsidR="009D7550">
        <w:rPr>
          <w:rFonts w:ascii="Times New Roman" w:eastAsia="Calibri" w:hAnsi="Times New Roman" w:cs="Times New Roman"/>
          <w:sz w:val="28"/>
          <w:szCs w:val="28"/>
        </w:rPr>
        <w:t>,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предложения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и замечания.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Заключение об учете замечаний и предложений, поступивших в рамках общественного обсуждения проекта внесения изменений в территориальную схему обращения с отходами Забайкальского края, и (или) о причинах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их отклонения, направлены в адрес ООО «ЭТТОН ГРУПП» для проведения корректировки проекта территориальной схемы.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настоящее время проектировщики вносят изменения в проект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по итогам проведенной работы Ми</w:t>
      </w:r>
      <w:r w:rsidR="009D7550">
        <w:rPr>
          <w:rFonts w:ascii="Times New Roman" w:eastAsia="Calibri" w:hAnsi="Times New Roman" w:cs="Times New Roman"/>
          <w:sz w:val="28"/>
          <w:szCs w:val="28"/>
        </w:rPr>
        <w:t>нистерство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обязуется утвердить проект территориальной схемы обращения с отходами Забайкальского края постановлением Правительства Забайкальского края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в соответствии с нормативно-правовой базой.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2024 году Мин</w:t>
      </w:r>
      <w:r w:rsidR="009D7550">
        <w:rPr>
          <w:rFonts w:ascii="Times New Roman" w:eastAsia="Calibri" w:hAnsi="Times New Roman" w:cs="Times New Roman"/>
          <w:sz w:val="28"/>
          <w:szCs w:val="28"/>
        </w:rPr>
        <w:t xml:space="preserve">истерством </w:t>
      </w:r>
      <w:r w:rsidRPr="002D6B7C">
        <w:rPr>
          <w:rFonts w:ascii="Times New Roman" w:eastAsia="Calibri" w:hAnsi="Times New Roman" w:cs="Times New Roman"/>
          <w:sz w:val="28"/>
          <w:szCs w:val="28"/>
        </w:rPr>
        <w:t>реализовано предоставление субсидии региональному оператору по обращению с твердыми коммунальными отходами (далее – ТКО) на территории Забайкальского края на возмещение недополученных доходов, возникших в результате организации деятельности по обращению с ТКО на территории Забайкальского края, и связанных с предоставлением коммунальной услуги по обращению с ТКО.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Цель предоставления субсидии – реализация регионального проекта «Комплексная система обращения с твердыми коммунальными отходами (Забайкальский край)» государственной программы Забайкальского края «Охрана окружающей среды», утвержденной постановлением Правительства Забайкальского края от 10 апреля 2014 года № 188.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соответствии с письмом Региональной службы по тарифам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и ценообразованию Забайкальского края (далее – РСТ Забайкальского края)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B7C">
        <w:rPr>
          <w:rFonts w:ascii="Times New Roman" w:eastAsia="Calibri" w:hAnsi="Times New Roman" w:cs="Times New Roman"/>
          <w:sz w:val="28"/>
          <w:szCs w:val="28"/>
        </w:rPr>
        <w:t>от 28 декабря 2023 года № 02/6103 при тарифном регулировании на 2024 год у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Олерон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+» сложились плановые недополученные доходы при применении норматива накопления ТКО по категории потребителей «Население» в I полугодии 2024 года отличного от II полугодия 2024 года.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Исходя из проведенного РСТ Забайкальского края анализа плановая сумма недополученных доходов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Олерон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+» составила 112 641 485,19 руб. Данная сумма подлежит выплате региональному оператору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по обращению с ТКО в 2024 году из бюджета Забайкальского края.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Забайкальского края от 27 марта 2024 года № 149 «О перераспределении бюджетных ассигнований, направляемых на финансовое обеспечение отдельных мероприятий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в 2024 году» Мин</w:t>
      </w:r>
      <w:r w:rsidR="005F5005">
        <w:rPr>
          <w:rFonts w:ascii="Times New Roman" w:eastAsia="Calibri" w:hAnsi="Times New Roman" w:cs="Times New Roman"/>
          <w:sz w:val="28"/>
          <w:szCs w:val="28"/>
        </w:rPr>
        <w:t>истерством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в 2024 году предусмотрено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112 641 485,19 руб. для компенсации недополученных доходов, возникших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в результате организации деятельности по обращению с ТКО и связанных</w:t>
      </w:r>
      <w:r w:rsidRPr="002D6B7C">
        <w:rPr>
          <w:rFonts w:ascii="Times New Roman" w:eastAsia="Calibri" w:hAnsi="Times New Roman" w:cs="Times New Roman"/>
          <w:sz w:val="28"/>
          <w:szCs w:val="28"/>
        </w:rPr>
        <w:br/>
        <w:t>с предоставлением коммунальной услуги по обращению с ТКО на территории Забайкальского края.</w:t>
      </w:r>
    </w:p>
    <w:p w:rsidR="002D6B7C" w:rsidRPr="002D6B7C" w:rsidRDefault="002D6B7C" w:rsidP="002D6B7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B7C">
        <w:rPr>
          <w:rFonts w:ascii="Times New Roman" w:eastAsia="Calibri" w:hAnsi="Times New Roman" w:cs="Times New Roman"/>
          <w:sz w:val="28"/>
          <w:szCs w:val="28"/>
        </w:rPr>
        <w:t>Между Мин</w:t>
      </w:r>
      <w:r w:rsidR="005F5005">
        <w:rPr>
          <w:rFonts w:ascii="Times New Roman" w:eastAsia="Calibri" w:hAnsi="Times New Roman" w:cs="Times New Roman"/>
          <w:sz w:val="28"/>
          <w:szCs w:val="28"/>
        </w:rPr>
        <w:t>истерством</w:t>
      </w:r>
      <w:r w:rsidRPr="002D6B7C">
        <w:rPr>
          <w:rFonts w:ascii="Times New Roman" w:eastAsia="Calibri" w:hAnsi="Times New Roman" w:cs="Times New Roman"/>
          <w:sz w:val="28"/>
          <w:szCs w:val="28"/>
        </w:rPr>
        <w:t xml:space="preserve"> и ООО «</w:t>
      </w:r>
      <w:proofErr w:type="spellStart"/>
      <w:r w:rsidRPr="002D6B7C">
        <w:rPr>
          <w:rFonts w:ascii="Times New Roman" w:eastAsia="Calibri" w:hAnsi="Times New Roman" w:cs="Times New Roman"/>
          <w:sz w:val="28"/>
          <w:szCs w:val="28"/>
        </w:rPr>
        <w:t>Олерон</w:t>
      </w:r>
      <w:proofErr w:type="spellEnd"/>
      <w:r w:rsidRPr="002D6B7C">
        <w:rPr>
          <w:rFonts w:ascii="Times New Roman" w:eastAsia="Calibri" w:hAnsi="Times New Roman" w:cs="Times New Roman"/>
          <w:sz w:val="28"/>
          <w:szCs w:val="28"/>
        </w:rPr>
        <w:t>+» заключено соглашение от о предоставлении из бюджета Забайкальского края субсидии региональному оператору по обращению с твердыми коммунальными отходами от 10 апреля 2024 года №1.</w:t>
      </w:r>
    </w:p>
    <w:p w:rsidR="00AE1BEC" w:rsidRPr="002D6B7C" w:rsidRDefault="00AE1BEC" w:rsidP="00AE1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D6B7C">
        <w:rPr>
          <w:rFonts w:ascii="Times New Roman" w:eastAsia="Calibri" w:hAnsi="Times New Roman" w:cs="Times New Roman"/>
          <w:sz w:val="28"/>
          <w:shd w:val="clear" w:color="auto" w:fill="FFFFFF"/>
        </w:rPr>
        <w:t>В соответствии с Указом Президента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РФ</w:t>
      </w:r>
      <w:r w:rsidRPr="002D6B7C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национальн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ый</w:t>
      </w:r>
      <w:r w:rsidRPr="002D6B7C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проект «Экологическое благополучие» сменил национальный проект «Экология». Федеральный проект «Чистая страна» трансформируется в федеральный проект «Генеральная уборка», а федеральный проект «Комплексная система обращения с ТКО»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 </w:t>
      </w:r>
      <w:r w:rsidRPr="002D6B7C">
        <w:rPr>
          <w:rFonts w:ascii="Times New Roman" w:eastAsia="Calibri" w:hAnsi="Times New Roman" w:cs="Times New Roman"/>
          <w:sz w:val="28"/>
          <w:shd w:val="clear" w:color="auto" w:fill="FFFFFF"/>
        </w:rPr>
        <w:t>«Экономика замкнутого цикла».</w:t>
      </w:r>
    </w:p>
    <w:p w:rsidR="00F959A8" w:rsidRPr="00F959A8" w:rsidRDefault="00F959A8" w:rsidP="00F9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eading=h.30j0zll" w:colFirst="0" w:colLast="0"/>
      <w:bookmarkEnd w:id="1"/>
      <w:r w:rsidRPr="00F95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Региональный проект «Чистый воздух (Забайкальский край)»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Забайкальского края осуществляется реализация Комплексного плана мероприятий по снижению выбросов в атмосферный воздух в г. Чита, который является неотъемлемой частью регионального проекта «Чистый воздух (Забайкальский край)» (далее – региональный проект).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 31.12.2024 фактически достигнутые установленные региональным проектом целевые показатели достигнуты: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</w:t>
      </w:r>
      <w:proofErr w:type="gramEnd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совокупного объема выбросов (план ‒ 90,7335 %, факт ‒ 90,7024 %);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</w:t>
      </w:r>
      <w:proofErr w:type="gramEnd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совокупного объема выбросов опасных загрязняющих веществ -  (план ‒ 89,8241 %, факт ‒ 89,7864 %);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</w:t>
      </w:r>
      <w:proofErr w:type="gramEnd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населения, качество жизни которого улучшится в связи с сокращением объема вредных выбросов в крупных промышленных центрах Российской Федерации (план ‒ 0, факт ‒ 0);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proofErr w:type="gramEnd"/>
      <w:r w:rsidRPr="00F95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городов с высоким и очень высоким уровнем загрязнения атмосферного воздуха в городах – участниках проекта (план ‒ 1, факт ‒ 1).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целевых показателей реализованы следующие мероприятия: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снижению выбросов загрязняющих веществ от транспорта: приобретение 55 троллейбусов; строительство троллейбусной линий «Троллейбусное депо –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Каштак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снижению выбросов загрязняющих веществ от объектов коммунальной инфраструктуры: 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proofErr w:type="gram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F959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котельных в МБДОУ №№ 9, 14, 30, 31</w:t>
      </w: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</w:t>
      </w:r>
      <w:proofErr w:type="gram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котельных с переводом потребителей на централизованное теплоснабжение: Гимназия 21 (ул. Ленинградская, 59а); ул. Шилова, 99; 41 квартал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СибВО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строительство теплотрассы); ул.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Верхоленская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, 24;</w:t>
      </w:r>
    </w:p>
    <w:p w:rsidR="00F959A8" w:rsidRPr="00F959A8" w:rsidRDefault="00F959A8" w:rsidP="00F9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снижению выбросов от промышленных предприятий, в том числе от предприятий теплоэнергетики</w:t>
      </w:r>
      <w:r w:rsidRPr="00F959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2022 году начата реализация мероприятия «Газификация жилых домов частного сектора г. Читы». Планируемый срок завершения данного мероприятия декабрь 2026 года.</w:t>
      </w: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газ планируется перевести не менее 13,2 тыс. домовладений. Снижение совокупного объема выбросов к 2027 году составит </w:t>
      </w: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12 898,81 тонн (17,3064% по отношению к 2017 году).</w:t>
      </w:r>
    </w:p>
    <w:p w:rsidR="00F959A8" w:rsidRPr="00F959A8" w:rsidRDefault="00F959A8" w:rsidP="00F959A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Концессионное соглашение о финансировании, создании и эксплуатации объекта газоснабжения на территории города Читы (далее – Соглашение) заключено 30.11.2022 г. № 01-к/2022.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администрация городского округа «Город Чита», концессионер – ООО «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АврораГаз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59A8" w:rsidRPr="00F959A8" w:rsidRDefault="00F959A8" w:rsidP="00F959A8">
      <w:pPr>
        <w:tabs>
          <w:tab w:val="left" w:pos="10206"/>
        </w:tabs>
        <w:spacing w:before="4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Соглашения</w:t>
      </w:r>
      <w:r w:rsidRPr="00F959A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</w:t>
      </w:r>
      <w:r w:rsidRPr="00F959A8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два</w:t>
      </w:r>
      <w:r w:rsidRPr="00F959A8">
        <w:rPr>
          <w:rFonts w:ascii="Times New Roman" w:eastAsia="Times New Roman" w:hAnsi="Times New Roman" w:cs="Times New Roman"/>
          <w:spacing w:val="-16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мероприятия:</w:t>
      </w:r>
    </w:p>
    <w:p w:rsidR="00F959A8" w:rsidRPr="00F959A8" w:rsidRDefault="00F959A8" w:rsidP="00F959A8">
      <w:pPr>
        <w:widowControl w:val="0"/>
        <w:numPr>
          <w:ilvl w:val="0"/>
          <w:numId w:val="2"/>
        </w:numPr>
        <w:tabs>
          <w:tab w:val="left" w:pos="1089"/>
          <w:tab w:val="left" w:pos="10206"/>
        </w:tabs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959A8">
        <w:rPr>
          <w:rFonts w:ascii="Times New Roman" w:eastAsia="Times New Roman" w:hAnsi="Times New Roman" w:cs="Times New Roman"/>
          <w:sz w:val="28"/>
        </w:rPr>
        <w:t>Строительство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сетей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газоснабжения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(финансирование</w:t>
      </w:r>
      <w:r w:rsidRPr="00F959A8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из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федерального бюджета 5 875,00 млрд. рублей);</w:t>
      </w:r>
    </w:p>
    <w:p w:rsidR="00F959A8" w:rsidRPr="00F959A8" w:rsidRDefault="00F959A8" w:rsidP="00F959A8">
      <w:pPr>
        <w:widowControl w:val="0"/>
        <w:numPr>
          <w:ilvl w:val="0"/>
          <w:numId w:val="2"/>
        </w:numPr>
        <w:tabs>
          <w:tab w:val="left" w:pos="1123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959A8">
        <w:rPr>
          <w:rFonts w:ascii="Times New Roman" w:eastAsia="Times New Roman" w:hAnsi="Times New Roman" w:cs="Times New Roman"/>
          <w:sz w:val="28"/>
        </w:rPr>
        <w:t>Строительство</w:t>
      </w:r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системы</w:t>
      </w:r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приема,</w:t>
      </w:r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хранения</w:t>
      </w:r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и</w:t>
      </w:r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proofErr w:type="spellStart"/>
      <w:r w:rsidRPr="00F959A8">
        <w:rPr>
          <w:rFonts w:ascii="Times New Roman" w:eastAsia="Times New Roman" w:hAnsi="Times New Roman" w:cs="Times New Roman"/>
          <w:sz w:val="28"/>
        </w:rPr>
        <w:t>регазификации</w:t>
      </w:r>
      <w:proofErr w:type="spellEnd"/>
      <w:r w:rsidRPr="00F959A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(далее ‒ CПXP).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Строительство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CПXP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осуществляется</w:t>
      </w:r>
      <w:r w:rsidRPr="00F959A8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за</w:t>
      </w:r>
      <w:r w:rsidRPr="00F959A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счет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средств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Концессионера</w:t>
      </w:r>
      <w:r w:rsidRPr="00F959A8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в размере</w:t>
      </w:r>
      <w:r w:rsidRPr="00F959A8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1,4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млрд.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рублей,</w:t>
      </w:r>
      <w:r w:rsidRPr="00F959A8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но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не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более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1,8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млрд.</w:t>
      </w:r>
      <w:r w:rsidRPr="00F959A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</w:rPr>
        <w:t>рублей.</w:t>
      </w:r>
    </w:p>
    <w:p w:rsidR="00F959A8" w:rsidRPr="00F959A8" w:rsidRDefault="00F959A8" w:rsidP="00F959A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проектом запланировано создание порядка 450,66 км газораспределительных</w:t>
      </w:r>
      <w:r w:rsidRPr="00F959A8">
        <w:rPr>
          <w:rFonts w:ascii="Times New Roman" w:eastAsia="Times New Roman" w:hAnsi="Times New Roman" w:cs="Times New Roman"/>
          <w:spacing w:val="-18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сетей</w:t>
      </w:r>
      <w:r w:rsidRPr="00F959A8">
        <w:rPr>
          <w:rFonts w:ascii="Times New Roman" w:eastAsia="Times New Roman" w:hAnsi="Times New Roman" w:cs="Times New Roman"/>
          <w:spacing w:val="-17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(протяженность</w:t>
      </w:r>
      <w:r w:rsidRPr="00F959A8">
        <w:rPr>
          <w:rFonts w:ascii="Times New Roman" w:eastAsia="Times New Roman" w:hAnsi="Times New Roman" w:cs="Times New Roman"/>
          <w:spacing w:val="-14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уточняется</w:t>
      </w:r>
      <w:r w:rsidRPr="00F959A8">
        <w:rPr>
          <w:rFonts w:ascii="Times New Roman" w:eastAsia="Times New Roman" w:hAnsi="Times New Roman" w:cs="Times New Roman"/>
          <w:spacing w:val="11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 w:rsidRPr="00F959A8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проектировании).</w:t>
      </w:r>
      <w:r w:rsidRPr="00F959A8">
        <w:rPr>
          <w:rFonts w:ascii="Times New Roman" w:eastAsia="Times New Roman" w:hAnsi="Times New Roman" w:cs="Times New Roman"/>
          <w:spacing w:val="-11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период с 2023 по 31 декабря 2024 проложено 310,1 км (68,81%) сетей газоснабжения</w:t>
      </w:r>
      <w:r w:rsidRPr="00F959A8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осталось проложить 140,56 км.</w:t>
      </w:r>
    </w:p>
    <w:p w:rsidR="00F959A8" w:rsidRPr="00F959A8" w:rsidRDefault="00F959A8" w:rsidP="00F959A8">
      <w:pPr>
        <w:tabs>
          <w:tab w:val="left" w:pos="1020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выполнялось проектирование 1 и 2 этапа со строительством сетей газоснабжения</w:t>
      </w:r>
      <w:r w:rsidRPr="00F959A8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1 этапа.</w:t>
      </w:r>
    </w:p>
    <w:p w:rsidR="00F959A8" w:rsidRPr="00F959A8" w:rsidRDefault="00F959A8" w:rsidP="00F959A8">
      <w:pPr>
        <w:tabs>
          <w:tab w:val="left" w:pos="10206"/>
        </w:tabs>
        <w:spacing w:before="7"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2024 году выполнялось проектирование 2 и 3 этапа со строительством сетей газоснабжения</w:t>
      </w:r>
      <w:r w:rsidRPr="00F959A8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1, 2 и 3 этапа.</w:t>
      </w:r>
    </w:p>
    <w:p w:rsidR="00F959A8" w:rsidRPr="00F959A8" w:rsidRDefault="00F959A8" w:rsidP="00F959A8">
      <w:pPr>
        <w:tabs>
          <w:tab w:val="left" w:pos="10206"/>
        </w:tabs>
        <w:spacing w:before="12"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1 и 2 этапам строительства сетей газоснабжения получены положительные</w:t>
      </w:r>
      <w:r w:rsidRPr="00F959A8">
        <w:rPr>
          <w:rFonts w:ascii="Times New Roman" w:eastAsia="Times New Roman" w:hAnsi="Times New Roman" w:cs="Times New Roman"/>
          <w:spacing w:val="39"/>
          <w:sz w:val="28"/>
          <w:szCs w:val="20"/>
          <w:lang w:eastAsia="ru-RU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заключения достоверности сметной стоимости.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pacing w:val="-13"/>
          <w:position w:val="3"/>
          <w:sz w:val="29"/>
          <w:szCs w:val="29"/>
        </w:rPr>
        <w:t xml:space="preserve">ФАУ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«</w:t>
      </w:r>
      <w:proofErr w:type="spellStart"/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Главгосэкспертиза</w:t>
      </w:r>
      <w:proofErr w:type="spellEnd"/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»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по </w:t>
      </w:r>
      <w:r w:rsidRPr="00F959A8">
        <w:rPr>
          <w:rFonts w:ascii="Times New Roman" w:eastAsia="Times New Roman" w:hAnsi="Times New Roman" w:cs="Times New Roman"/>
          <w:sz w:val="28"/>
          <w:szCs w:val="29"/>
        </w:rPr>
        <w:t xml:space="preserve">1 этапу строительства сетей газоснабжения </w:t>
      </w:r>
      <w:r w:rsidRPr="00F959A8">
        <w:rPr>
          <w:rFonts w:ascii="Times New Roman" w:eastAsia="Times New Roman" w:hAnsi="Times New Roman" w:cs="Times New Roman"/>
          <w:sz w:val="28"/>
          <w:szCs w:val="29"/>
        </w:rPr>
        <w:br/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29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марта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2024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года</w:t>
      </w:r>
      <w:r w:rsidRPr="00F959A8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9"/>
        </w:rPr>
        <w:t>выдано положительное</w:t>
      </w:r>
      <w:r w:rsidRPr="00F959A8">
        <w:rPr>
          <w:rFonts w:ascii="Times New Roman" w:eastAsia="Times New Roman" w:hAnsi="Times New Roman" w:cs="Times New Roman"/>
          <w:spacing w:val="39"/>
          <w:sz w:val="28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8"/>
          <w:szCs w:val="29"/>
        </w:rPr>
        <w:t>заключение достоверности сметной стоимости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со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стоимостью </w:t>
      </w:r>
      <w:r w:rsidRPr="00F959A8">
        <w:rPr>
          <w:rFonts w:ascii="Times New Roman" w:eastAsia="Times New Roman" w:hAnsi="Times New Roman" w:cs="Times New Roman"/>
          <w:spacing w:val="-2"/>
          <w:position w:val="3"/>
          <w:sz w:val="29"/>
          <w:szCs w:val="29"/>
        </w:rPr>
        <w:t>1,7</w:t>
      </w:r>
      <w:r w:rsidRPr="00F959A8">
        <w:rPr>
          <w:rFonts w:ascii="Times New Roman" w:eastAsia="Times New Roman" w:hAnsi="Times New Roman" w:cs="Times New Roman"/>
          <w:spacing w:val="-17"/>
          <w:position w:val="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position w:val="3"/>
          <w:sz w:val="29"/>
          <w:szCs w:val="29"/>
        </w:rPr>
        <w:t>млрд.</w:t>
      </w:r>
      <w:r w:rsidRPr="00F959A8">
        <w:rPr>
          <w:rFonts w:ascii="Times New Roman" w:eastAsia="Times New Roman" w:hAnsi="Times New Roman" w:cs="Times New Roman"/>
          <w:spacing w:val="-16"/>
          <w:position w:val="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рублей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16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августа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2024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года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по 2 этапу ‒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со</w:t>
      </w:r>
      <w:r w:rsidRPr="00F959A8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стоимостью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2,4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млрд.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рублей.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По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3</w:t>
      </w:r>
      <w:r w:rsidRPr="00F959A8">
        <w:rPr>
          <w:rFonts w:ascii="Times New Roman" w:eastAsia="Times New Roman" w:hAnsi="Times New Roman" w:cs="Times New Roman"/>
          <w:spacing w:val="-16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этапу </w:t>
      </w:r>
      <w:r w:rsidRPr="00F959A8">
        <w:rPr>
          <w:rFonts w:ascii="Times New Roman" w:eastAsia="Times New Roman" w:hAnsi="Times New Roman" w:cs="Times New Roman"/>
          <w:position w:val="3"/>
          <w:sz w:val="29"/>
          <w:szCs w:val="29"/>
        </w:rPr>
        <w:t xml:space="preserve">проектирования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строительства сетей газоснабжения документы загружены на проверку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ФАУ</w:t>
      </w:r>
      <w:r w:rsidRPr="00F959A8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«</w:t>
      </w:r>
      <w:proofErr w:type="spellStart"/>
      <w:r w:rsidRPr="00F959A8">
        <w:rPr>
          <w:rFonts w:ascii="Times New Roman" w:eastAsia="Times New Roman" w:hAnsi="Times New Roman" w:cs="Times New Roman"/>
          <w:sz w:val="29"/>
          <w:szCs w:val="29"/>
        </w:rPr>
        <w:t>Главгосэкспертиза</w:t>
      </w:r>
      <w:proofErr w:type="spellEnd"/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России».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32" w:after="0" w:line="211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В 2025 году планируется завершить строительство 2 и 3 этапа сетей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газоснабжения.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7" w:after="0" w:line="232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>Инженерные изыскания по CПXP выполнены, 29 ноября 2024 года получено положительное заключение экспертизы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. На</w:t>
      </w:r>
      <w:r w:rsidRPr="00F959A8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земельном участке,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предусмотренном</w:t>
      </w:r>
      <w:r w:rsidRPr="00F959A8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для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строительства CПXP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(кадастровый № 75:32:040355:1613),</w:t>
      </w:r>
      <w:r w:rsidRPr="00F959A8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в рамках реализации временной схемы по подключению 330 домовладений, 8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октября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2024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года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получено положительное заключение экспертизы</w:t>
      </w:r>
      <w:r w:rsidRPr="00F959A8">
        <w:rPr>
          <w:rFonts w:ascii="Times New Roman" w:eastAsia="Times New Roman" w:hAnsi="Times New Roman" w:cs="Times New Roman"/>
          <w:spacing w:val="-19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промышленной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безопасности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на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основание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безопасности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опасного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производственного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>объекта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«Временная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площадка газоснабжения.</w:t>
      </w:r>
      <w:r w:rsidRPr="00F959A8">
        <w:rPr>
          <w:rFonts w:ascii="Times New Roman" w:eastAsia="Times New Roman" w:hAnsi="Times New Roman" w:cs="Times New Roman"/>
          <w:spacing w:val="-1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Установка резервуарная».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В</w:t>
      </w:r>
      <w:r w:rsidRPr="00F959A8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рамках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строительства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1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и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2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этапов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планируется</w:t>
      </w:r>
      <w:r w:rsidRPr="00F959A8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>строительство</w:t>
      </w:r>
      <w:r w:rsidRPr="00F959A8">
        <w:rPr>
          <w:rFonts w:ascii="Times New Roman" w:eastAsia="Times New Roman" w:hAnsi="Times New Roman" w:cs="Times New Roman"/>
          <w:spacing w:val="-11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двух линий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в</w:t>
      </w:r>
      <w:r w:rsidRPr="00F959A8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состав которых входит: </w:t>
      </w:r>
      <w:proofErr w:type="spellStart"/>
      <w:r w:rsidRPr="00F959A8">
        <w:rPr>
          <w:rFonts w:ascii="Times New Roman" w:eastAsia="Times New Roman" w:hAnsi="Times New Roman" w:cs="Times New Roman"/>
          <w:sz w:val="29"/>
          <w:szCs w:val="29"/>
        </w:rPr>
        <w:t>регазификационная</w:t>
      </w:r>
      <w:proofErr w:type="spellEnd"/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 установка и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криогенная насосная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установка:</w:t>
      </w:r>
    </w:p>
    <w:p w:rsidR="00F959A8" w:rsidRPr="00F959A8" w:rsidRDefault="00F959A8" w:rsidP="00F959A8">
      <w:pPr>
        <w:widowControl w:val="0"/>
        <w:tabs>
          <w:tab w:val="left" w:pos="1086"/>
          <w:tab w:val="left" w:pos="10206"/>
        </w:tabs>
        <w:autoSpaceDE w:val="0"/>
        <w:autoSpaceDN w:val="0"/>
        <w:spacing w:before="6" w:after="0" w:line="230" w:lineRule="auto"/>
        <w:ind w:firstLine="709"/>
        <w:jc w:val="both"/>
        <w:rPr>
          <w:rFonts w:ascii="Times New Roman" w:eastAsia="Times New Roman" w:hAnsi="Times New Roman" w:cs="Times New Roman"/>
          <w:sz w:val="29"/>
        </w:rPr>
      </w:pPr>
      <w:r w:rsidRPr="00F959A8">
        <w:rPr>
          <w:rFonts w:ascii="Times New Roman" w:eastAsia="Times New Roman" w:hAnsi="Times New Roman" w:cs="Times New Roman"/>
          <w:sz w:val="29"/>
        </w:rPr>
        <w:t xml:space="preserve">1 этап </w:t>
      </w:r>
      <w:r w:rsidRPr="00F959A8">
        <w:rPr>
          <w:rFonts w:ascii="Times New Roman" w:eastAsia="Times New Roman" w:hAnsi="Times New Roman" w:cs="Times New Roman"/>
          <w:w w:val="90"/>
          <w:sz w:val="29"/>
        </w:rPr>
        <w:t xml:space="preserve">‒ </w:t>
      </w:r>
      <w:r w:rsidRPr="00F959A8">
        <w:rPr>
          <w:rFonts w:ascii="Times New Roman" w:eastAsia="Times New Roman" w:hAnsi="Times New Roman" w:cs="Times New Roman"/>
          <w:sz w:val="29"/>
        </w:rPr>
        <w:t>модульная система с выгрузкой СПГ из контейнеров-цистерн. Установлено</w:t>
      </w:r>
      <w:r w:rsidRPr="00F959A8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</w:rPr>
        <w:t>оборудование</w:t>
      </w:r>
      <w:r w:rsidRPr="00F959A8">
        <w:rPr>
          <w:rFonts w:ascii="Times New Roman" w:eastAsia="Times New Roman" w:hAnsi="Times New Roman" w:cs="Times New Roman"/>
          <w:spacing w:val="-10"/>
          <w:sz w:val="29"/>
        </w:rPr>
        <w:t>:</w:t>
      </w:r>
      <w:r w:rsidRPr="00F959A8">
        <w:rPr>
          <w:rFonts w:ascii="Times New Roman" w:eastAsia="Times New Roman" w:hAnsi="Times New Roman" w:cs="Times New Roman"/>
          <w:spacing w:val="-11"/>
          <w:w w:val="90"/>
          <w:sz w:val="29"/>
        </w:rPr>
        <w:t xml:space="preserve"> </w:t>
      </w:r>
      <w:proofErr w:type="spellStart"/>
      <w:r w:rsidRPr="00F959A8">
        <w:rPr>
          <w:rFonts w:ascii="Times New Roman" w:eastAsia="Times New Roman" w:hAnsi="Times New Roman" w:cs="Times New Roman"/>
          <w:sz w:val="29"/>
        </w:rPr>
        <w:t>регазификационная</w:t>
      </w:r>
      <w:proofErr w:type="spellEnd"/>
      <w:r w:rsidRPr="00F959A8">
        <w:rPr>
          <w:rFonts w:ascii="Times New Roman" w:eastAsia="Times New Roman" w:hAnsi="Times New Roman" w:cs="Times New Roman"/>
          <w:sz w:val="29"/>
        </w:rPr>
        <w:t>,</w:t>
      </w:r>
      <w:r w:rsidRPr="00F959A8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</w:rPr>
        <w:t>криогенная</w:t>
      </w:r>
      <w:r w:rsidRPr="00F959A8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</w:rPr>
        <w:t>и</w:t>
      </w:r>
      <w:r w:rsidRPr="00F959A8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proofErr w:type="spellStart"/>
      <w:r w:rsidRPr="00F959A8">
        <w:rPr>
          <w:rFonts w:ascii="Times New Roman" w:eastAsia="Times New Roman" w:hAnsi="Times New Roman" w:cs="Times New Roman"/>
          <w:sz w:val="29"/>
        </w:rPr>
        <w:t>адорезационная</w:t>
      </w:r>
      <w:proofErr w:type="spellEnd"/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</w:rPr>
        <w:t xml:space="preserve">установки.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2 этап</w:t>
      </w:r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10"/>
          <w:w w:val="90"/>
          <w:sz w:val="29"/>
        </w:rPr>
        <w:t xml:space="preserve">‒ </w:t>
      </w:r>
      <w:r w:rsidRPr="00F959A8">
        <w:rPr>
          <w:rFonts w:ascii="Times New Roman" w:eastAsia="Times New Roman" w:hAnsi="Times New Roman" w:cs="Times New Roman"/>
          <w:spacing w:val="-2"/>
          <w:w w:val="95"/>
          <w:sz w:val="29"/>
        </w:rPr>
        <w:t>капитальные</w:t>
      </w:r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</w:rPr>
        <w:t>хранилища</w:t>
      </w:r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СПГ.</w:t>
      </w:r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</w:rPr>
        <w:t>Загрузка</w:t>
      </w:r>
      <w:r w:rsidRPr="00F959A8">
        <w:rPr>
          <w:rFonts w:ascii="Times New Roman" w:eastAsia="Times New Roman" w:hAnsi="Times New Roman" w:cs="Times New Roman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w w:val="95"/>
          <w:sz w:val="29"/>
        </w:rPr>
        <w:t>проектно-сметной д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окументации</w:t>
      </w:r>
      <w:r w:rsidRPr="00F959A8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на</w:t>
      </w:r>
      <w:r w:rsidRPr="00F959A8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государственную</w:t>
      </w:r>
      <w:r w:rsidRPr="00F959A8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экспертизу</w:t>
      </w:r>
      <w:r w:rsidRPr="00F959A8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планируется</w:t>
      </w:r>
      <w:r w:rsidRPr="00F959A8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15</w:t>
      </w:r>
      <w:r w:rsidRPr="00F959A8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февраля</w:t>
      </w:r>
      <w:r w:rsidRPr="00F959A8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2025</w:t>
      </w:r>
      <w:r w:rsidRPr="00F959A8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4"/>
          <w:sz w:val="29"/>
        </w:rPr>
        <w:t>года.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>В настоящее время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на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площадке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строительства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осуществляется</w:t>
      </w:r>
      <w:r w:rsidRPr="00F959A8">
        <w:rPr>
          <w:rFonts w:ascii="Times New Roman" w:eastAsia="Times New Roman" w:hAnsi="Times New Roman" w:cs="Times New Roman"/>
          <w:spacing w:val="-1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отсыпка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основания</w:t>
      </w:r>
      <w:r w:rsidRPr="00F959A8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для</w:t>
      </w:r>
      <w:r w:rsidRPr="00F959A8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устройства</w:t>
      </w:r>
      <w:r w:rsidRPr="00F959A8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площадки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и</w:t>
      </w:r>
      <w:r w:rsidRPr="00F959A8">
        <w:rPr>
          <w:rFonts w:ascii="Times New Roman" w:eastAsia="Times New Roman" w:hAnsi="Times New Roman" w:cs="Times New Roman"/>
          <w:spacing w:val="-17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размещения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основного</w:t>
      </w:r>
      <w:r w:rsidRPr="00F959A8">
        <w:rPr>
          <w:rFonts w:ascii="Times New Roman" w:eastAsia="Times New Roman" w:hAnsi="Times New Roman" w:cs="Times New Roman"/>
          <w:spacing w:val="-8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2"/>
          <w:sz w:val="29"/>
          <w:szCs w:val="29"/>
        </w:rPr>
        <w:t>CПXP.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Производится</w:t>
      </w:r>
      <w:r w:rsidRPr="00F959A8">
        <w:rPr>
          <w:rFonts w:ascii="Times New Roman" w:eastAsia="Times New Roman" w:hAnsi="Times New Roman" w:cs="Times New Roman"/>
          <w:spacing w:val="-13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завоз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грунта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в</w:t>
      </w:r>
      <w:r w:rsidRPr="00F959A8">
        <w:rPr>
          <w:rFonts w:ascii="Times New Roman" w:eastAsia="Times New Roman" w:hAnsi="Times New Roman" w:cs="Times New Roman"/>
          <w:spacing w:val="-12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pacing w:val="-6"/>
          <w:sz w:val="29"/>
          <w:szCs w:val="29"/>
        </w:rPr>
        <w:t>накопление,</w:t>
      </w:r>
      <w:r w:rsidRPr="00F959A8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завезено 89</w:t>
      </w:r>
      <w:r w:rsidRPr="00F959A8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000 </w:t>
      </w:r>
      <w:proofErr w:type="spellStart"/>
      <w:r w:rsidRPr="00F959A8">
        <w:rPr>
          <w:rFonts w:ascii="Times New Roman" w:eastAsia="Times New Roman" w:hAnsi="Times New Roman" w:cs="Times New Roman"/>
          <w:sz w:val="29"/>
          <w:szCs w:val="29"/>
        </w:rPr>
        <w:t>куб.м</w:t>
      </w:r>
      <w:proofErr w:type="spellEnd"/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 грунта.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8"/>
          <w:szCs w:val="28"/>
        </w:rPr>
        <w:t>Для определения технической возможности газификации домовладений проводится комиссионный осмотр. Обследовано 14 083 домовладения.</w:t>
      </w:r>
    </w:p>
    <w:p w:rsidR="00F959A8" w:rsidRPr="00F959A8" w:rsidRDefault="00F959A8" w:rsidP="00F959A8">
      <w:pPr>
        <w:tabs>
          <w:tab w:val="left" w:pos="35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переоборудованию домов в 2023 и 2024 годы конкурсным отбором определена организации ООО «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Энергогазинжинеринг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(ООО «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Субсидии в 2023 и 2024 годы (700,73 млн. рублей в </w:t>
      </w: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году и 838,0 млн. рублей в 2024 году) предоставлены. </w:t>
      </w:r>
    </w:p>
    <w:p w:rsid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В целях определения технической возможности газификации домовладений по состоянию на 31.12.2024 проведены комиссионные </w:t>
      </w:r>
      <w:r>
        <w:rPr>
          <w:rFonts w:ascii="Times New Roman" w:eastAsia="Times New Roman" w:hAnsi="Times New Roman" w:cs="Times New Roman"/>
          <w:sz w:val="29"/>
          <w:szCs w:val="29"/>
        </w:rPr>
        <w:t>о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смотры 14351 домов.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Н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а переоборудование домовладений заключено 7852 договора с гражданами. Установлено 5978 котлов, полностью завершены работы по монтажу в 2115 домах. 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>В 334 домах устранены все замечания по установке котельного оборудования. Подключено (</w:t>
      </w:r>
      <w:proofErr w:type="spellStart"/>
      <w:r w:rsidRPr="00F959A8">
        <w:rPr>
          <w:rFonts w:ascii="Times New Roman" w:eastAsia="Times New Roman" w:hAnsi="Times New Roman" w:cs="Times New Roman"/>
          <w:sz w:val="29"/>
          <w:szCs w:val="29"/>
        </w:rPr>
        <w:t>техприсоединение</w:t>
      </w:r>
      <w:proofErr w:type="spellEnd"/>
      <w:r w:rsidRPr="00F959A8">
        <w:rPr>
          <w:rFonts w:ascii="Times New Roman" w:eastAsia="Times New Roman" w:hAnsi="Times New Roman" w:cs="Times New Roman"/>
          <w:sz w:val="29"/>
          <w:szCs w:val="29"/>
        </w:rPr>
        <w:t>) к газовым сетям 334 дома, но при этом из 334 домов к принятию газа готово 60 домов (оборудованы тепловым контуром для теплоснабжения).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Согласно сводной бюджетной росписи о бюджете Забайкальского края на 2024 год до главного распорядителя бюджетных средств, которым является  Министерство жилищно-коммунального хозяйства, цифровизации и связи Забайкальского края доведены бюджетные ассигнования и открыты лимиты бюджетных обязательств на снижение совокупного объема выбросов загрязняющих веществ в атмосферный воздух в г. Чита в размере 2 030 214,29 тыс. рублей, в том числе 1 989 610,00 тыс. рублей за счет средств федерального бюджета на реализацию мероприятия </w:t>
      </w:r>
      <w:r w:rsidRPr="00F959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«Газификация жилых домов частного сектора г. Читы»</w:t>
      </w:r>
      <w:r w:rsidRPr="00F95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9A8" w:rsidRDefault="00F959A8" w:rsidP="00F95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по мероприятию составило 100% от доведенных бюджетных обязательств.</w:t>
      </w:r>
    </w:p>
    <w:p w:rsidR="005F5005" w:rsidRPr="00F959A8" w:rsidRDefault="005F5005" w:rsidP="00F95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Региональный проект «Сохранение озера Байкал (Забайкальский край)»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«Сохранение озера Байкал (Забайкальский край)» были реализованы 3 проекта: «Реконструкция очистных сооружений в г. Хилок»; «Строительство очистных сооружений в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п.п.ст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Хилокском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 «Строительство очистных сооружений в п. Тарбагатай Петровск-Забайкальского района».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строительства/реконструкции вышеперечисленных объектов сокращение объема сбросов загрязненных сточных вод в водные объекты Байкальской природной территории к 2027 году составит 548 тыс. куб. м.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показатель 2024 года не достигнут (план ‒ 16 654 тыс. куб. м, факт ‒ 17 202 тыс. куб. м). Значение показателя можно считать достигнутым после проверки качества очистки воды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Ожидаемая дата достижения планового показателя 31.12.2025.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сводной бюджетной росписи о бюджете Забайкальского края на 2024 год до главного распорядителя бюджетных средств, которым является Министерство строительства, дорожного хозяйства и транспорта Забайкальского края доведены бюджетные ассигнования и открыты лимиты бюджетных обязательств в размере 71 188,98 тыс. рублей.</w:t>
      </w:r>
    </w:p>
    <w:p w:rsidR="00F959A8" w:rsidRPr="00F959A8" w:rsidRDefault="00F959A8" w:rsidP="00F95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составило 29 356,64 тыс. рублей (41,24 %).</w:t>
      </w:r>
    </w:p>
    <w:p w:rsidR="00F959A8" w:rsidRPr="00F959A8" w:rsidRDefault="00F959A8" w:rsidP="00F959A8">
      <w:pPr>
        <w:widowControl w:val="0"/>
        <w:tabs>
          <w:tab w:val="left" w:pos="10206"/>
        </w:tabs>
        <w:autoSpaceDE w:val="0"/>
        <w:autoSpaceDN w:val="0"/>
        <w:spacing w:before="2" w:after="0" w:line="235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По состоянию на 31.12.2024 от администрации муниципального округа Петровск-Забайкальский и администрации Хилокского района получены разрешения на ввод 1 этапа объектов капитального строительства (без эксплуатации) </w:t>
      </w:r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«Строительство очистных сооружений в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</w:rPr>
        <w:t>п.п.ст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</w:rPr>
        <w:t>Жипхеген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959A8">
        <w:rPr>
          <w:rFonts w:ascii="Times New Roman" w:eastAsia="Times New Roman" w:hAnsi="Times New Roman" w:cs="Times New Roman"/>
          <w:sz w:val="28"/>
          <w:szCs w:val="28"/>
        </w:rPr>
        <w:t>Хилокском</w:t>
      </w:r>
      <w:proofErr w:type="spellEnd"/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 районе» и «Строительство очистных сооружений в п. Тарбагатай Петровск-Забайкальского района»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 xml:space="preserve">. До настоящего времени разрешение на ввод 1 этапа объекта капитального строительства </w:t>
      </w:r>
      <w:r w:rsidRPr="00F959A8">
        <w:rPr>
          <w:rFonts w:ascii="Times New Roman" w:eastAsia="Times New Roman" w:hAnsi="Times New Roman" w:cs="Times New Roman"/>
          <w:sz w:val="28"/>
          <w:szCs w:val="28"/>
        </w:rPr>
        <w:t xml:space="preserve">«Реконструкция очистных сооружений в г. Хилок» от </w:t>
      </w:r>
      <w:r w:rsidRPr="00F959A8">
        <w:rPr>
          <w:rFonts w:ascii="Times New Roman" w:eastAsia="Times New Roman" w:hAnsi="Times New Roman" w:cs="Times New Roman"/>
          <w:sz w:val="29"/>
          <w:szCs w:val="29"/>
        </w:rPr>
        <w:t>администрации Хилокского района не поступало.</w:t>
      </w:r>
    </w:p>
    <w:p w:rsidR="00F959A8" w:rsidRDefault="00F959A8" w:rsidP="00B4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4025" w:rsidRPr="002D6B7C" w:rsidRDefault="00B44025" w:rsidP="00B4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B7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«Сохранение лесов» 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2019-2024 годов в Забайкальском крае реализовался федеральный проект «Сохранение лесов» национального проекта «Экология».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показатель регионального проекта «Сохранение лесов (Забайкальский край)» «Отношение площади лесовосстановления и лесоразведения к площади вырубленных и погибших лесных насаждений» за 2024 год перевыполнен в 3,3 раза по отношению к плановому значению и составил 325%.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реализации проекта «Сохранение лесов» на территории Забайкальского края достигнуты следующие результаты (мероприятия):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«увеличена площадь лесовосстановления, повышено качество и эффективность работ по </w:t>
      </w:r>
      <w:proofErr w:type="spellStart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лесовосстановлению</w:t>
      </w:r>
      <w:proofErr w:type="spellEnd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лесных участках, не переданных в работу» (значение по итогу 2024 года – 54,2 </w:t>
      </w:r>
      <w:proofErr w:type="spellStart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тыс.га</w:t>
      </w:r>
      <w:proofErr w:type="spellEnd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- «сформирован запас лесных семян для лесовосстановления на всех участках вырубленных и погибших лесных насаждений» (за период реализации проекта результат достигнут со значением 5,9 тонн);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- «оснащены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в соответствии с нормативами обеспеченности» (за период реализации проекта закуплено 486 единиц лесопожарной техники и оборудования);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«оснащение учреждений, выполняющих мероприятия по воспроизводству лесов специализированной техникой для проведения комплекса мероприятий по </w:t>
      </w:r>
      <w:proofErr w:type="spellStart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>лесовосстановлению</w:t>
      </w:r>
      <w:proofErr w:type="spellEnd"/>
      <w:r w:rsidRPr="0029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лесоразведению» (за период реализации проекта поставлено 211 единиц лесохозяйственной техники и оборудования).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 соответствии с Указом Президента с 2025 года национальный проект «Экология» сменит национальный проект «Экологическое благополучие». 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Федеральный проект «Сохранение лесов» продолжит реализовываться в рамках национального проекта «Экологическое благополучие».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Между Министерством и Федеральным агентством лесного хозяйства 4 декабря 2024 года заключено «Соглашение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 «Сохранение лесов», входящего в состав национального проекта «Экологическое благополучие» на территории Забайкальского края» сроком до 31.12.2030 (далее – Соглашение).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Указанным Соглашением устанавливается обеспечение достижения в период реализации регионального проекта «Сохранение лесов» следующих показателей и мероприятий (результатов):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 Показатель «Отношение площади лесовосстановления и лесоразведения к площади вырубленных и погибших лесных насаждений»: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1.1. Результат «Проведены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1.2. Результат «Сформирован запас семян лесных семян для лесовосстановления на всех участках вырубленных и погибших лесных насаждений»;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1.3. «Выполнены мероприятия по уходу за лесными культурами»;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1.4. «Созданы и развиты (модернизированы) объекты лесного семеноводства и питомнические хозяйства»;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1.5. «Приобретена спецтехника для проведения комплекса мероприятий по </w:t>
      </w:r>
      <w:proofErr w:type="spellStart"/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лесовосстановлению</w:t>
      </w:r>
      <w:proofErr w:type="spellEnd"/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и лесоразведению в целях оснащения учреждений, выполняющих мероприятия по воспроизводству лесов»;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1.6. «Приобретена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пожаров».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2. Показатель «Отнесение площадей лесовосстановления к землям, на которых расположены леса»;</w:t>
      </w:r>
    </w:p>
    <w:p w:rsidR="00294200" w:rsidRPr="00294200" w:rsidRDefault="00294200" w:rsidP="002942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200">
        <w:rPr>
          <w:rFonts w:ascii="Times New Roman" w:eastAsia="Calibri" w:hAnsi="Times New Roman" w:cs="Times New Roman"/>
          <w:sz w:val="28"/>
          <w:shd w:val="clear" w:color="auto" w:fill="FFFFFF"/>
        </w:rPr>
        <w:t>3. Показатель «Сокращение площади лесных пожаров на землях лесного фонда по отношению к 2021 году».</w:t>
      </w:r>
    </w:p>
    <w:tbl>
      <w:tblPr>
        <w:tblW w:w="10741" w:type="dxa"/>
        <w:tblInd w:w="65" w:type="dxa"/>
        <w:tblLook w:val="04A0" w:firstRow="1" w:lastRow="0" w:firstColumn="1" w:lastColumn="0" w:noHBand="0" w:noVBand="1"/>
      </w:tblPr>
      <w:tblGrid>
        <w:gridCol w:w="1091"/>
        <w:gridCol w:w="3383"/>
        <w:gridCol w:w="2070"/>
        <w:gridCol w:w="2260"/>
        <w:gridCol w:w="1937"/>
      </w:tblGrid>
      <w:tr w:rsidR="002D6B7C" w:rsidRPr="002D6B7C" w:rsidTr="002472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B7C" w:rsidRPr="002D6B7C" w:rsidRDefault="002D6B7C" w:rsidP="002D6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B7C" w:rsidRPr="002D6B7C" w:rsidTr="002472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780" w:rsidRPr="002D6B7C" w:rsidRDefault="003C2780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B7C" w:rsidRPr="002D6B7C" w:rsidRDefault="002D6B7C" w:rsidP="002D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B7C" w:rsidRPr="002D6B7C" w:rsidTr="002472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2E4" w:rsidRDefault="00FD22E4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2E4" w:rsidRDefault="00FD22E4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2E4" w:rsidRPr="002D6B7C" w:rsidRDefault="00FD22E4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P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7C" w:rsidRDefault="002D6B7C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26B" w:rsidRDefault="0024726B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26B" w:rsidRDefault="0024726B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26B" w:rsidRPr="002D6B7C" w:rsidRDefault="0024726B" w:rsidP="002D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B7C" w:rsidRPr="00D84D32" w:rsidRDefault="002D6B7C" w:rsidP="002D6B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6B7C" w:rsidRPr="00D84D32" w:rsidSect="009D7550">
      <w:headerReference w:type="default" r:id="rId8"/>
      <w:foot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70" w:rsidRDefault="00D32B70" w:rsidP="00B21007">
      <w:pPr>
        <w:spacing w:after="0" w:line="240" w:lineRule="auto"/>
      </w:pPr>
      <w:r>
        <w:separator/>
      </w:r>
    </w:p>
  </w:endnote>
  <w:endnote w:type="continuationSeparator" w:id="0">
    <w:p w:rsidR="00D32B70" w:rsidRDefault="00D32B70" w:rsidP="00B2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961187"/>
      <w:docPartObj>
        <w:docPartGallery w:val="Page Numbers (Bottom of Page)"/>
        <w:docPartUnique/>
      </w:docPartObj>
    </w:sdtPr>
    <w:sdtEndPr/>
    <w:sdtContent>
      <w:p w:rsidR="001D239E" w:rsidRDefault="001D239E">
        <w:pPr>
          <w:pStyle w:val="a6"/>
          <w:jc w:val="center"/>
        </w:pPr>
      </w:p>
      <w:p w:rsidR="001D239E" w:rsidRDefault="00D32B70">
        <w:pPr>
          <w:pStyle w:val="a6"/>
          <w:jc w:val="center"/>
        </w:pPr>
      </w:p>
    </w:sdtContent>
  </w:sdt>
  <w:p w:rsidR="001D239E" w:rsidRDefault="001D2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70" w:rsidRDefault="00D32B70" w:rsidP="00B21007">
      <w:pPr>
        <w:spacing w:after="0" w:line="240" w:lineRule="auto"/>
      </w:pPr>
      <w:r>
        <w:separator/>
      </w:r>
    </w:p>
  </w:footnote>
  <w:footnote w:type="continuationSeparator" w:id="0">
    <w:p w:rsidR="00D32B70" w:rsidRDefault="00D32B70" w:rsidP="00B2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874545"/>
      <w:docPartObj>
        <w:docPartGallery w:val="Page Numbers (Top of Page)"/>
        <w:docPartUnique/>
      </w:docPartObj>
    </w:sdtPr>
    <w:sdtEndPr/>
    <w:sdtContent>
      <w:p w:rsidR="009D7550" w:rsidRDefault="009D75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0D9">
          <w:rPr>
            <w:noProof/>
          </w:rPr>
          <w:t>12</w:t>
        </w:r>
        <w:r>
          <w:fldChar w:fldCharType="end"/>
        </w:r>
      </w:p>
    </w:sdtContent>
  </w:sdt>
  <w:p w:rsidR="00B21007" w:rsidRDefault="00B21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C3C02"/>
    <w:multiLevelType w:val="hybridMultilevel"/>
    <w:tmpl w:val="DDD270B6"/>
    <w:lvl w:ilvl="0" w:tplc="24623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3D7EED"/>
    <w:multiLevelType w:val="hybridMultilevel"/>
    <w:tmpl w:val="18028AB8"/>
    <w:lvl w:ilvl="0" w:tplc="5B649260">
      <w:start w:val="1"/>
      <w:numFmt w:val="decimal"/>
      <w:lvlText w:val="%1."/>
      <w:lvlJc w:val="left"/>
      <w:pPr>
        <w:ind w:left="3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FC723C38">
      <w:numFmt w:val="bullet"/>
      <w:lvlText w:val="•"/>
      <w:lvlJc w:val="left"/>
      <w:pPr>
        <w:ind w:left="1093" w:hanging="339"/>
      </w:pPr>
      <w:rPr>
        <w:rFonts w:hint="default"/>
        <w:lang w:val="ru-RU" w:eastAsia="en-US" w:bidi="ar-SA"/>
      </w:rPr>
    </w:lvl>
    <w:lvl w:ilvl="2" w:tplc="96524744">
      <w:numFmt w:val="bullet"/>
      <w:lvlText w:val="•"/>
      <w:lvlJc w:val="left"/>
      <w:pPr>
        <w:ind w:left="2146" w:hanging="339"/>
      </w:pPr>
      <w:rPr>
        <w:rFonts w:hint="default"/>
        <w:lang w:val="ru-RU" w:eastAsia="en-US" w:bidi="ar-SA"/>
      </w:rPr>
    </w:lvl>
    <w:lvl w:ilvl="3" w:tplc="83583EB4">
      <w:numFmt w:val="bullet"/>
      <w:lvlText w:val="•"/>
      <w:lvlJc w:val="left"/>
      <w:pPr>
        <w:ind w:left="3199" w:hanging="339"/>
      </w:pPr>
      <w:rPr>
        <w:rFonts w:hint="default"/>
        <w:lang w:val="ru-RU" w:eastAsia="en-US" w:bidi="ar-SA"/>
      </w:rPr>
    </w:lvl>
    <w:lvl w:ilvl="4" w:tplc="E92278E4">
      <w:numFmt w:val="bullet"/>
      <w:lvlText w:val="•"/>
      <w:lvlJc w:val="left"/>
      <w:pPr>
        <w:ind w:left="4252" w:hanging="339"/>
      </w:pPr>
      <w:rPr>
        <w:rFonts w:hint="default"/>
        <w:lang w:val="ru-RU" w:eastAsia="en-US" w:bidi="ar-SA"/>
      </w:rPr>
    </w:lvl>
    <w:lvl w:ilvl="5" w:tplc="5B48379A">
      <w:numFmt w:val="bullet"/>
      <w:lvlText w:val="•"/>
      <w:lvlJc w:val="left"/>
      <w:pPr>
        <w:ind w:left="5305" w:hanging="339"/>
      </w:pPr>
      <w:rPr>
        <w:rFonts w:hint="default"/>
        <w:lang w:val="ru-RU" w:eastAsia="en-US" w:bidi="ar-SA"/>
      </w:rPr>
    </w:lvl>
    <w:lvl w:ilvl="6" w:tplc="9D486652">
      <w:numFmt w:val="bullet"/>
      <w:lvlText w:val="•"/>
      <w:lvlJc w:val="left"/>
      <w:pPr>
        <w:ind w:left="6358" w:hanging="339"/>
      </w:pPr>
      <w:rPr>
        <w:rFonts w:hint="default"/>
        <w:lang w:val="ru-RU" w:eastAsia="en-US" w:bidi="ar-SA"/>
      </w:rPr>
    </w:lvl>
    <w:lvl w:ilvl="7" w:tplc="D14273B6">
      <w:numFmt w:val="bullet"/>
      <w:lvlText w:val="•"/>
      <w:lvlJc w:val="left"/>
      <w:pPr>
        <w:ind w:left="7411" w:hanging="339"/>
      </w:pPr>
      <w:rPr>
        <w:rFonts w:hint="default"/>
        <w:lang w:val="ru-RU" w:eastAsia="en-US" w:bidi="ar-SA"/>
      </w:rPr>
    </w:lvl>
    <w:lvl w:ilvl="8" w:tplc="AF7E1176">
      <w:numFmt w:val="bullet"/>
      <w:lvlText w:val="•"/>
      <w:lvlJc w:val="left"/>
      <w:pPr>
        <w:ind w:left="8464" w:hanging="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8"/>
    <w:rsid w:val="000B29DB"/>
    <w:rsid w:val="000B55D6"/>
    <w:rsid w:val="000E6330"/>
    <w:rsid w:val="001D239E"/>
    <w:rsid w:val="001E2C28"/>
    <w:rsid w:val="00232BCA"/>
    <w:rsid w:val="0023665E"/>
    <w:rsid w:val="0024726B"/>
    <w:rsid w:val="00294200"/>
    <w:rsid w:val="002A30A9"/>
    <w:rsid w:val="002D6B7C"/>
    <w:rsid w:val="003C2780"/>
    <w:rsid w:val="003D016B"/>
    <w:rsid w:val="003F0E06"/>
    <w:rsid w:val="00401876"/>
    <w:rsid w:val="0042653E"/>
    <w:rsid w:val="004B51B7"/>
    <w:rsid w:val="005C25A3"/>
    <w:rsid w:val="005F5005"/>
    <w:rsid w:val="006058FF"/>
    <w:rsid w:val="006F20D9"/>
    <w:rsid w:val="00735316"/>
    <w:rsid w:val="008578AE"/>
    <w:rsid w:val="0088766B"/>
    <w:rsid w:val="008941D7"/>
    <w:rsid w:val="008B133F"/>
    <w:rsid w:val="009B3157"/>
    <w:rsid w:val="009B42F4"/>
    <w:rsid w:val="009B6DB8"/>
    <w:rsid w:val="009D16C8"/>
    <w:rsid w:val="009D7550"/>
    <w:rsid w:val="00AE1BEC"/>
    <w:rsid w:val="00AF0A90"/>
    <w:rsid w:val="00AF35E7"/>
    <w:rsid w:val="00B21007"/>
    <w:rsid w:val="00B44025"/>
    <w:rsid w:val="00B47564"/>
    <w:rsid w:val="00B85FB4"/>
    <w:rsid w:val="00BE07C6"/>
    <w:rsid w:val="00C24488"/>
    <w:rsid w:val="00C3706E"/>
    <w:rsid w:val="00D32B70"/>
    <w:rsid w:val="00D361DB"/>
    <w:rsid w:val="00D44DF6"/>
    <w:rsid w:val="00D806F2"/>
    <w:rsid w:val="00D84D32"/>
    <w:rsid w:val="00D915A4"/>
    <w:rsid w:val="00EF1F64"/>
    <w:rsid w:val="00F44798"/>
    <w:rsid w:val="00F60704"/>
    <w:rsid w:val="00F959A8"/>
    <w:rsid w:val="00FA16F2"/>
    <w:rsid w:val="00FB1E54"/>
    <w:rsid w:val="00FD22E4"/>
    <w:rsid w:val="00FE1C41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BB72-C685-428A-BA80-0BDC4FEA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3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633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9D16C8"/>
    <w:rPr>
      <w:i/>
      <w:iCs/>
    </w:rPr>
  </w:style>
  <w:style w:type="paragraph" w:styleId="a4">
    <w:name w:val="header"/>
    <w:basedOn w:val="a"/>
    <w:link w:val="a5"/>
    <w:uiPriority w:val="99"/>
    <w:unhideWhenUsed/>
    <w:rsid w:val="00B2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007"/>
  </w:style>
  <w:style w:type="paragraph" w:styleId="a6">
    <w:name w:val="footer"/>
    <w:basedOn w:val="a"/>
    <w:link w:val="a7"/>
    <w:uiPriority w:val="99"/>
    <w:unhideWhenUsed/>
    <w:rsid w:val="00B2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007"/>
  </w:style>
  <w:style w:type="table" w:styleId="a8">
    <w:name w:val="Table Grid"/>
    <w:basedOn w:val="a1"/>
    <w:uiPriority w:val="59"/>
    <w:rsid w:val="009B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8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DA66-EE88-4153-B202-7DBF3124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Ольга Геннадьевна Кудренко</cp:lastModifiedBy>
  <cp:revision>2</cp:revision>
  <dcterms:created xsi:type="dcterms:W3CDTF">2025-06-09T02:54:00Z</dcterms:created>
  <dcterms:modified xsi:type="dcterms:W3CDTF">2025-06-09T02:54:00Z</dcterms:modified>
</cp:coreProperties>
</file>