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Забайкальского края от 28.10.2013 N 465</w:t>
              <w:br/>
              <w:t xml:space="preserve">(ред. от 28.01.2026)</w:t>
              <w:br/>
              <w:t xml:space="preserve">"Об утверждении государственной программы Забайкальского края "Воспроизводство и использование природных ресурсов"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ЗАБАЙКАЛЬСКОГО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октября 2013 г. N 465</w:t>
      </w:r>
    </w:p>
    <w:p>
      <w:pPr>
        <w:pStyle w:val="2"/>
        <w:jc w:val="center"/>
      </w:pPr>
      <w:r>
        <w:rPr>
          <w:sz w:val="24"/>
        </w:rPr>
      </w:r>
    </w:p>
    <w:p>
      <w:pPr>
        <w:pStyle w:val="2"/>
        <w:jc w:val="center"/>
      </w:pPr>
      <w:r>
        <w:rPr>
          <w:sz w:val="24"/>
        </w:rPr>
        <w:t xml:space="preserve">ОБ УТВЕРЖДЕНИИ ГОСУДАРСТВЕННОЙ ПРОГРАММЫ ЗАБАЙКАЛЬСКОГО КРАЯ</w:t>
      </w:r>
    </w:p>
    <w:p>
      <w:pPr>
        <w:pStyle w:val="2"/>
        <w:jc w:val="center"/>
      </w:pPr>
      <w:r>
        <w:rPr>
          <w:sz w:val="24"/>
        </w:rPr>
        <w:t xml:space="preserve">"ВОСПРОИЗВОДСТВО И ИСПОЛЬЗОВАНИЕ ПРИРОДНЫХ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Забайкальского края</w:t>
            </w:r>
          </w:p>
          <w:p>
            <w:pPr>
              <w:pStyle w:val="0"/>
              <w:jc w:val="center"/>
            </w:pPr>
            <w:r>
              <w:rPr>
                <w:sz w:val="24"/>
                <w:color w:val="392c69"/>
              </w:rPr>
              <w:t xml:space="preserve">от 23.06.2014 </w:t>
            </w:r>
            <w:hyperlink w:history="0" r:id="rId8" w:tooltip="Постановление Правительства Забайкальского края от 23.06.2014 N 355 &quot;О внесении изменений в государственную программу Забайкальского края &quot;Воспроизводство и использование природных ресурсов&quot;, утвержденную постановлением Правительства Забайкальского края от 28 октября 2013 года N 465&quot; {КонсультантПлюс}">
              <w:r>
                <w:rPr>
                  <w:sz w:val="24"/>
                  <w:color w:val="0000ff"/>
                </w:rPr>
                <w:t xml:space="preserve">N 355</w:t>
              </w:r>
            </w:hyperlink>
            <w:r>
              <w:rPr>
                <w:sz w:val="24"/>
                <w:color w:val="392c69"/>
              </w:rPr>
              <w:t xml:space="preserve">, от 30.12.2015 </w:t>
            </w:r>
            <w:hyperlink w:history="0" r:id="rId9" w:tooltip="Постановление Правительства Забайкальского края от 30.12.2015 N 651 &quot;О внесении изменения в таблицу 1 государственной программы Забайкальского края &quot;Воспроизводство и использование природных ресурсов&quot;, утвержденной постановлением Правительства Забайкальского края от 28 октября 2013 года N 465&quot; {КонсультантПлюс}">
              <w:r>
                <w:rPr>
                  <w:sz w:val="24"/>
                  <w:color w:val="0000ff"/>
                </w:rPr>
                <w:t xml:space="preserve">N 651</w:t>
              </w:r>
            </w:hyperlink>
            <w:r>
              <w:rPr>
                <w:sz w:val="24"/>
                <w:color w:val="392c69"/>
              </w:rPr>
              <w:t xml:space="preserve">, от 25.10.2016 </w:t>
            </w:r>
            <w:hyperlink w:history="0" r:id="rId10" w:tooltip="Постановление Правительства Забайкальского края от 25.10.2016 N 402 &quot;О внесении изменений в государственную программу Забайкальского края &quot;Воспроизводство и использование природных ресурсов&quot;, утвержденную постановлением Правительства Забайкальского края от 28 октября 2013 года N 465&quot; {КонсультантПлюс}">
              <w:r>
                <w:rPr>
                  <w:sz w:val="24"/>
                  <w:color w:val="0000ff"/>
                </w:rPr>
                <w:t xml:space="preserve">N 402</w:t>
              </w:r>
            </w:hyperlink>
            <w:r>
              <w:rPr>
                <w:sz w:val="24"/>
                <w:color w:val="392c69"/>
              </w:rPr>
              <w:t xml:space="preserve">,</w:t>
            </w:r>
          </w:p>
          <w:p>
            <w:pPr>
              <w:pStyle w:val="0"/>
              <w:jc w:val="center"/>
            </w:pPr>
            <w:r>
              <w:rPr>
                <w:sz w:val="24"/>
                <w:color w:val="392c69"/>
              </w:rPr>
              <w:t xml:space="preserve">от 29.12.2017 </w:t>
            </w:r>
            <w:hyperlink w:history="0" r:id="rId11" w:tooltip="Постановление Правительства Забайкальского края от 29.12.2017 N 589 &quot;О внесении изменений в государственную программу Забайкальского края &quot;Воспроизводство и использование природных ресурсов&quot;, утвержденную постановлением Правительства Забайкальского края от 28 октября 2013 года N 465&quot; {КонсультантПлюс}">
              <w:r>
                <w:rPr>
                  <w:sz w:val="24"/>
                  <w:color w:val="0000ff"/>
                </w:rPr>
                <w:t xml:space="preserve">N 589</w:t>
              </w:r>
            </w:hyperlink>
            <w:r>
              <w:rPr>
                <w:sz w:val="24"/>
                <w:color w:val="392c69"/>
              </w:rPr>
              <w:t xml:space="preserve">, от 29.06.2018 </w:t>
            </w:r>
            <w:hyperlink w:history="0" r:id="rId12" w:tooltip="Постановление Правительства Забайкальского края от 29.06.2018 N 261 &quot;О внесении изменений в государственную программу Забайкальского края &quot;Воспроизводство и использование природных ресурсов&quot;, утвержденную постановлением Правительства Забайкальского края от 28 октября 2013 года N 465&quot; {КонсультантПлюс}">
              <w:r>
                <w:rPr>
                  <w:sz w:val="24"/>
                  <w:color w:val="0000ff"/>
                </w:rPr>
                <w:t xml:space="preserve">N 261</w:t>
              </w:r>
            </w:hyperlink>
            <w:r>
              <w:rPr>
                <w:sz w:val="24"/>
                <w:color w:val="392c69"/>
              </w:rPr>
              <w:t xml:space="preserve">, от 04.12.2019 </w:t>
            </w:r>
            <w:hyperlink w:history="0" r:id="rId13" w:tooltip="Постановление Правительства Забайкальского края от 04.12.2019 N 473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N 473</w:t>
              </w:r>
            </w:hyperlink>
            <w:r>
              <w:rPr>
                <w:sz w:val="24"/>
                <w:color w:val="392c69"/>
              </w:rPr>
              <w:t xml:space="preserve">,</w:t>
            </w:r>
          </w:p>
          <w:p>
            <w:pPr>
              <w:pStyle w:val="0"/>
              <w:jc w:val="center"/>
            </w:pPr>
            <w:r>
              <w:rPr>
                <w:sz w:val="24"/>
                <w:color w:val="392c69"/>
              </w:rPr>
              <w:t xml:space="preserve">от 01.12.2020 </w:t>
            </w:r>
            <w:hyperlink w:history="0" r:id="rId14" w:tooltip="Постановление Правительства Забайкальского края от 01.12.2020 N 516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N 516</w:t>
              </w:r>
            </w:hyperlink>
            <w:r>
              <w:rPr>
                <w:sz w:val="24"/>
                <w:color w:val="392c69"/>
              </w:rPr>
              <w:t xml:space="preserve">, от 01.07.2022 </w:t>
            </w:r>
            <w:hyperlink w:history="0" r:id="rId15" w:tooltip="Постановление Правительства Забайкальского края от 01.07.2022 N 277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N 277</w:t>
              </w:r>
            </w:hyperlink>
            <w:r>
              <w:rPr>
                <w:sz w:val="24"/>
                <w:color w:val="392c69"/>
              </w:rPr>
              <w:t xml:space="preserve">, от 09.04.2024 </w:t>
            </w:r>
            <w:hyperlink w:history="0" r:id="rId16" w:tooltip="Постановление Правительства Забайкальского края от 09.04.2024 N 182 &quot;О внесении изменений в постановление Правительства Забайкальского края от 28 октября 2013 года N 465 &quot;Об утверждении государственной программы Забайкальского края &quot;Воспроизводство и использование природных ресурсов&quot; {КонсультантПлюс}">
              <w:r>
                <w:rPr>
                  <w:sz w:val="24"/>
                  <w:color w:val="0000ff"/>
                </w:rPr>
                <w:t xml:space="preserve">N 182</w:t>
              </w:r>
            </w:hyperlink>
            <w:r>
              <w:rPr>
                <w:sz w:val="24"/>
                <w:color w:val="392c69"/>
              </w:rPr>
              <w:t xml:space="preserve">,</w:t>
            </w:r>
          </w:p>
          <w:p>
            <w:pPr>
              <w:pStyle w:val="0"/>
              <w:jc w:val="center"/>
            </w:pPr>
            <w:r>
              <w:rPr>
                <w:sz w:val="24"/>
                <w:color w:val="392c69"/>
              </w:rPr>
              <w:t xml:space="preserve">от 23.01.2025 </w:t>
            </w:r>
            <w:hyperlink w:history="0" r:id="rId17"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N 15</w:t>
              </w:r>
            </w:hyperlink>
            <w:r>
              <w:rPr>
                <w:sz w:val="24"/>
                <w:color w:val="392c69"/>
              </w:rPr>
              <w:t xml:space="preserve">, от 28.01.2026 </w:t>
            </w:r>
            <w:hyperlink w:history="0" r:id="rId18" w:tooltip="Постановление Правительства Забайкальского края от 28.01.2026 N 19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9" w:tooltip="Постановление Правительства Забайкальского края от 30.12.2013 N 600 (ред. от 18.03.2026) &quot;Об утверждении Порядка разработки, формирования, реализации, мониторинга и проведения оценки эффективности государственных программ Забайкальского края&quot; {КонсультантПлюс}">
        <w:r>
          <w:rPr>
            <w:sz w:val="24"/>
            <w:color w:val="0000ff"/>
          </w:rPr>
          <w:t xml:space="preserve">Порядком</w:t>
        </w:r>
      </w:hyperlink>
      <w:r>
        <w:rPr>
          <w:sz w:val="24"/>
        </w:rPr>
        <w:t xml:space="preserve">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N 600, Перечнем государственных программ Забайкальского края, утвержденным распоряжением Правительства Забайкальского края от 15 мая 2012 года N 223-р, Правительство Забайкальского края постановляет:</w:t>
      </w:r>
    </w:p>
    <w:p>
      <w:pPr>
        <w:pStyle w:val="0"/>
        <w:jc w:val="both"/>
      </w:pPr>
      <w:r>
        <w:rPr>
          <w:sz w:val="24"/>
        </w:rPr>
        <w:t xml:space="preserve">(преамбула в ред. </w:t>
      </w:r>
      <w:hyperlink w:history="0" r:id="rId20" w:tooltip="Постановление Правительства Забайкальского края от 09.04.2024 N 182 &quot;О внесении изменений в постановление Правительства Забайкальского края от 28 октября 2013 года N 465 &quot;Об утверждении государственной программы Забайкальского края &quot;Воспроизводство и использование природных ресурсов&quot; {КонсультантПлюс}">
        <w:r>
          <w:rPr>
            <w:sz w:val="24"/>
            <w:color w:val="0000ff"/>
          </w:rPr>
          <w:t xml:space="preserve">Постановления</w:t>
        </w:r>
      </w:hyperlink>
      <w:r>
        <w:rPr>
          <w:sz w:val="24"/>
        </w:rPr>
        <w:t xml:space="preserve"> Правительства Забайкальского края от 09.04.2024 N 182)</w:t>
      </w:r>
    </w:p>
    <w:p>
      <w:pPr>
        <w:pStyle w:val="0"/>
        <w:jc w:val="both"/>
      </w:pPr>
      <w:r>
        <w:rPr>
          <w:sz w:val="24"/>
        </w:rPr>
      </w:r>
    </w:p>
    <w:p>
      <w:pPr>
        <w:pStyle w:val="0"/>
        <w:ind w:firstLine="540"/>
        <w:jc w:val="both"/>
      </w:pPr>
      <w:r>
        <w:rPr>
          <w:sz w:val="24"/>
        </w:rPr>
        <w:t xml:space="preserve">1. Утвердить прилагаемую государственную </w:t>
      </w:r>
      <w:hyperlink w:history="0" w:anchor="P34" w:tooltip="ГОСУДАРСТВЕННАЯ ПРОГРАММА">
        <w:r>
          <w:rPr>
            <w:sz w:val="24"/>
            <w:color w:val="0000ff"/>
          </w:rPr>
          <w:t xml:space="preserve">программу</w:t>
        </w:r>
      </w:hyperlink>
      <w:r>
        <w:rPr>
          <w:sz w:val="24"/>
        </w:rPr>
        <w:t xml:space="preserve"> Забайкальского края "Воспроизводство и использование природных ресурсов".</w:t>
      </w:r>
    </w:p>
    <w:p>
      <w:pPr>
        <w:pStyle w:val="0"/>
        <w:spacing w:before="240" w:lineRule="auto"/>
        <w:ind w:firstLine="540"/>
        <w:jc w:val="both"/>
      </w:pPr>
      <w:r>
        <w:rPr>
          <w:sz w:val="24"/>
        </w:rPr>
        <w:t xml:space="preserve">2. Признать утратившим силу с 1 января 2014 года </w:t>
      </w:r>
      <w:hyperlink w:history="0" r:id="rId21" w:tooltip="Постановление Правительства Забайкальского края от 26.10.2010 N 423 (ред. от 25.10.2012) &quot;Об утверждении краевой долгосрочной целевой программы &quot;Защита населенных пунктов от негативного воздействия паводковых вод и обеспечение безопасности гидротехнических сооружений, расположенных на территории Забайкальского края (2011-2015 годы)&quot; ------------ Утратил силу или отменен {КонсультантПлюс}">
        <w:r>
          <w:rPr>
            <w:sz w:val="24"/>
            <w:color w:val="0000ff"/>
          </w:rPr>
          <w:t xml:space="preserve">постановление</w:t>
        </w:r>
      </w:hyperlink>
      <w:r>
        <w:rPr>
          <w:sz w:val="24"/>
        </w:rPr>
        <w:t xml:space="preserve"> Правительства Забайкальского края от 26 октября 2010 года N 423 "Об утверждении краевой долгосрочной целевой программы "Защита населенных пунктов от негативного воздействия паводковых вод и обеспечение безопасности гидротехнических сооружений, расположенных на территории Забайкальского края (2011 - 2015 годы)".</w:t>
      </w:r>
    </w:p>
    <w:p>
      <w:pPr>
        <w:pStyle w:val="0"/>
        <w:jc w:val="both"/>
      </w:pPr>
      <w:r>
        <w:rPr>
          <w:sz w:val="24"/>
        </w:rPr>
      </w:r>
    </w:p>
    <w:p>
      <w:pPr>
        <w:pStyle w:val="0"/>
        <w:jc w:val="right"/>
      </w:pPr>
      <w:r>
        <w:rPr>
          <w:sz w:val="24"/>
        </w:rPr>
        <w:t xml:space="preserve">Губернатор</w:t>
      </w:r>
    </w:p>
    <w:p>
      <w:pPr>
        <w:pStyle w:val="0"/>
        <w:jc w:val="right"/>
      </w:pPr>
      <w:r>
        <w:rPr>
          <w:sz w:val="24"/>
        </w:rPr>
        <w:t xml:space="preserve">Забайкальского края</w:t>
      </w:r>
    </w:p>
    <w:p>
      <w:pPr>
        <w:pStyle w:val="0"/>
        <w:jc w:val="right"/>
      </w:pPr>
      <w:r>
        <w:rPr>
          <w:sz w:val="24"/>
        </w:rPr>
        <w:t xml:space="preserve">К.К.ИЛЬКОВСКИЙ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Забайкальского края</w:t>
      </w:r>
    </w:p>
    <w:p>
      <w:pPr>
        <w:pStyle w:val="0"/>
        <w:jc w:val="right"/>
      </w:pPr>
      <w:r>
        <w:rPr>
          <w:sz w:val="24"/>
        </w:rPr>
        <w:t xml:space="preserve">от 28 октября 2013 г. N 465</w:t>
      </w:r>
    </w:p>
    <w:p>
      <w:pPr>
        <w:pStyle w:val="0"/>
        <w:jc w:val="both"/>
      </w:pPr>
      <w:r>
        <w:rPr>
          <w:sz w:val="24"/>
        </w:rPr>
      </w:r>
    </w:p>
    <w:bookmarkStart w:id="34" w:name="P34"/>
    <w:bookmarkEnd w:id="34"/>
    <w:p>
      <w:pPr>
        <w:pStyle w:val="2"/>
        <w:jc w:val="center"/>
      </w:pPr>
      <w:r>
        <w:rPr>
          <w:sz w:val="24"/>
        </w:rPr>
        <w:t xml:space="preserve">ГОСУДАРСТВЕННАЯ ПРОГРАММА</w:t>
      </w:r>
    </w:p>
    <w:p>
      <w:pPr>
        <w:pStyle w:val="2"/>
        <w:jc w:val="center"/>
      </w:pPr>
      <w:r>
        <w:rPr>
          <w:sz w:val="24"/>
        </w:rPr>
        <w:t xml:space="preserve">ЗАБАЙКАЛЬСКОГО КРАЯ "ВОСПРОИЗВОДСТВО И ИСПОЛЬЗОВАНИЕ</w:t>
      </w:r>
    </w:p>
    <w:p>
      <w:pPr>
        <w:pStyle w:val="2"/>
        <w:jc w:val="center"/>
      </w:pPr>
      <w:r>
        <w:rPr>
          <w:sz w:val="24"/>
        </w:rPr>
        <w:t xml:space="preserve">ПРИРОДНЫХ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Забайкальского края</w:t>
            </w:r>
          </w:p>
          <w:p>
            <w:pPr>
              <w:pStyle w:val="0"/>
              <w:jc w:val="center"/>
            </w:pPr>
            <w:r>
              <w:rPr>
                <w:sz w:val="24"/>
                <w:color w:val="392c69"/>
              </w:rPr>
              <w:t xml:space="preserve">от 09.04.2024 </w:t>
            </w:r>
            <w:hyperlink w:history="0" r:id="rId22" w:tooltip="Постановление Правительства Забайкальского края от 09.04.2024 N 182 &quot;О внесении изменений в постановление Правительства Забайкальского края от 28 октября 2013 года N 465 &quot;Об утверждении государственной программы Забайкальского края &quot;Воспроизводство и использование природных ресурсов&quot; {КонсультантПлюс}">
              <w:r>
                <w:rPr>
                  <w:sz w:val="24"/>
                  <w:color w:val="0000ff"/>
                </w:rPr>
                <w:t xml:space="preserve">N 182</w:t>
              </w:r>
            </w:hyperlink>
            <w:r>
              <w:rPr>
                <w:sz w:val="24"/>
                <w:color w:val="392c69"/>
              </w:rPr>
              <w:t xml:space="preserve">, от 23.01.2025 </w:t>
            </w:r>
            <w:hyperlink w:history="0" r:id="rId23"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N 15</w:t>
              </w:r>
            </w:hyperlink>
            <w:r>
              <w:rPr>
                <w:sz w:val="24"/>
                <w:color w:val="392c69"/>
              </w:rPr>
              <w:t xml:space="preserve">, от 28.01.2026 </w:t>
            </w:r>
            <w:hyperlink w:history="0" r:id="rId24" w:tooltip="Постановление Правительства Забайкальского края от 28.01.2026 N 19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Стратегические приоритеты в сфере реализации</w:t>
      </w:r>
    </w:p>
    <w:p>
      <w:pPr>
        <w:pStyle w:val="2"/>
        <w:jc w:val="center"/>
      </w:pPr>
      <w:r>
        <w:rPr>
          <w:sz w:val="24"/>
        </w:rPr>
        <w:t xml:space="preserve">государственной программы Забайкальского края</w:t>
      </w:r>
    </w:p>
    <w:p>
      <w:pPr>
        <w:pStyle w:val="2"/>
        <w:jc w:val="center"/>
      </w:pPr>
      <w:r>
        <w:rPr>
          <w:sz w:val="24"/>
        </w:rPr>
        <w:t xml:space="preserve">"Воспроизводство и использование природных ресурсов"</w:t>
      </w:r>
    </w:p>
    <w:p>
      <w:pPr>
        <w:pStyle w:val="0"/>
        <w:jc w:val="both"/>
      </w:pPr>
      <w:r>
        <w:rPr>
          <w:sz w:val="24"/>
        </w:rPr>
      </w:r>
    </w:p>
    <w:p>
      <w:pPr>
        <w:pStyle w:val="2"/>
        <w:outlineLvl w:val="2"/>
        <w:jc w:val="center"/>
      </w:pPr>
      <w:r>
        <w:rPr>
          <w:sz w:val="24"/>
        </w:rPr>
        <w:t xml:space="preserve">1. Оценка текущего состояния сферы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Забайкальский край расположен на юго-востоке Восточной Сибири, входит в состав Дальневосточного федерального округа. Забайкальский край характеризуется выгодным географическим положением и привлекателен своим ресурсным потенциалом (минерально-сырьевым, водным, лесным и земельным и т.п.).</w:t>
      </w:r>
    </w:p>
    <w:p>
      <w:pPr>
        <w:pStyle w:val="0"/>
        <w:spacing w:before="240" w:lineRule="auto"/>
        <w:ind w:firstLine="540"/>
        <w:jc w:val="both"/>
      </w:pPr>
      <w:r>
        <w:rPr>
          <w:sz w:val="24"/>
        </w:rPr>
        <w:t xml:space="preserve">Водные ресурсы. Территория Забайкалья очень богата водными ресурсами. По территории Забайкальского края проходит мировой водораздел между бассейнами Северного Ледовитого и Тихого океанов. Здесь зарождаются и в значительной мере формируются воды трех крупных водных систем Сибири и Дальнего Востока: Амурского бассейна, Ленского и Байкало-Енисейского. На край приходится формирование более 7% стока бассейна Лены и более 5% площади ее водосбора; соответственно более 7% и около 13% - Амура; около 18% и 10% - Байкала.</w:t>
      </w:r>
    </w:p>
    <w:p>
      <w:pPr>
        <w:pStyle w:val="0"/>
        <w:spacing w:before="240" w:lineRule="auto"/>
        <w:ind w:firstLine="540"/>
        <w:jc w:val="both"/>
      </w:pPr>
      <w:r>
        <w:rPr>
          <w:sz w:val="24"/>
        </w:rPr>
        <w:t xml:space="preserve">Водные ресурсы распределены по территории края неравномерно, наименее обеспечены северо-западные, центральные, южные и юго-восточные районы, которые в то же время наиболее освоены и заселены. Реки носят характер преимущественно горных и полугорных водотоков.</w:t>
      </w:r>
    </w:p>
    <w:p>
      <w:pPr>
        <w:pStyle w:val="0"/>
        <w:spacing w:before="240" w:lineRule="auto"/>
        <w:ind w:firstLine="540"/>
        <w:jc w:val="both"/>
      </w:pPr>
      <w:r>
        <w:rPr>
          <w:sz w:val="24"/>
        </w:rPr>
        <w:t xml:space="preserve">Для рек края характерно преобладание дождевого питания (55 - 80%), снеговое и ледниковое питание незначительно. Для водного режима рек Забайкальского края характерно невысокое весеннее половодье, сменяющееся серией мощных дождевых паводков, часто вызывающих наводнения. Реки замерзают в октябре - начале ноября, вскрываются в конце апреля - начале мая. Большинство рек зимой перемерзает до дна, сток может отсутствовать до 100 дней в году и более.</w:t>
      </w:r>
    </w:p>
    <w:p>
      <w:pPr>
        <w:pStyle w:val="0"/>
        <w:spacing w:before="240" w:lineRule="auto"/>
        <w:ind w:firstLine="540"/>
        <w:jc w:val="both"/>
      </w:pPr>
      <w:r>
        <w:rPr>
          <w:sz w:val="24"/>
        </w:rPr>
        <w:t xml:space="preserve">Речная сеть Забайкальского края представлена 44310 реками, из них общая протяженность рек длиной более 10 км - 88,42 тыс. км, оценочная густота речной сети - 0,7 - 0,8 км/км</w:t>
      </w:r>
      <w:r>
        <w:rPr>
          <w:sz w:val="24"/>
          <w:vertAlign w:val="superscript"/>
        </w:rPr>
        <w:t xml:space="preserve">2</w:t>
      </w:r>
      <w:r>
        <w:rPr>
          <w:sz w:val="24"/>
        </w:rPr>
        <w:t xml:space="preserve">.</w:t>
      </w:r>
    </w:p>
    <w:p>
      <w:pPr>
        <w:pStyle w:val="0"/>
        <w:spacing w:before="240" w:lineRule="auto"/>
        <w:ind w:firstLine="540"/>
        <w:jc w:val="both"/>
      </w:pPr>
      <w:r>
        <w:rPr>
          <w:sz w:val="24"/>
        </w:rPr>
        <w:t xml:space="preserve">Здесь находятся верховые истоки главнейших водных артерий Сибири, Дальнего Востока и Центральной Азии. Это истоки Амура, Лены, Енисея. Важнейшая особенность западной части края - принадлежность ее к бассейну оз. Байкал, объявленного участком Мирового наследия. Полностью или частично по территории Забайкальского края протекают 54 реки протяженностью от 100 до 500 км. В ее пределах насчитывается 14 рек, относящихся к самым крупным водотокам России, длина которых более 500 км. Из них только пять рек полностью находятся на территории края: Газимур, Ингода, Калар, Нерча и Шилка. Кроме названных, самыми крупными реками региона являются Витим, Олекма, Аргунь, Онон, Хилок, Чикой. На востоке края берет начало самая большая река Дальнего Востока Амур, образованный слиянием Шилки и Аргуни.</w:t>
      </w:r>
    </w:p>
    <w:p>
      <w:pPr>
        <w:pStyle w:val="0"/>
        <w:spacing w:before="240" w:lineRule="auto"/>
        <w:ind w:firstLine="540"/>
        <w:jc w:val="both"/>
      </w:pPr>
      <w:r>
        <w:rPr>
          <w:sz w:val="24"/>
        </w:rPr>
        <w:t xml:space="preserve">Основную опасность на реках представляют многочисленные протоки, часто перегороженные и заваленные сухостоем; паромные переправы; резкие подъемы уровня воды вследствие кратковременных и обильных дождей; многочисленные мели и перекаты. Для сплава рекомендуется использовать надувные резиновые лодки, катамараны, каяки, разборные байдарки.</w:t>
      </w:r>
    </w:p>
    <w:p>
      <w:pPr>
        <w:pStyle w:val="0"/>
        <w:spacing w:before="240" w:lineRule="auto"/>
        <w:ind w:firstLine="540"/>
        <w:jc w:val="both"/>
      </w:pPr>
      <w:r>
        <w:rPr>
          <w:sz w:val="24"/>
        </w:rPr>
        <w:t xml:space="preserve">Озера. Озерность региона в целом невысока. На территории Забайкальского края насчитывается около 15000 озер с общей площадью 231 тыс. га, что составляет около 0,48% территории края. Подавляющее большинство озер (&gt; 99%) имеют площадь менее 1 км</w:t>
      </w:r>
      <w:r>
        <w:rPr>
          <w:sz w:val="24"/>
          <w:vertAlign w:val="superscript"/>
        </w:rPr>
        <w:t xml:space="preserve">2</w:t>
      </w:r>
      <w:r>
        <w:rPr>
          <w:sz w:val="24"/>
        </w:rPr>
        <w:t xml:space="preserve">. Площадь поверхности от 1 до 10 км</w:t>
      </w:r>
      <w:r>
        <w:rPr>
          <w:sz w:val="24"/>
          <w:vertAlign w:val="superscript"/>
        </w:rPr>
        <w:t xml:space="preserve">2</w:t>
      </w:r>
      <w:r>
        <w:rPr>
          <w:sz w:val="24"/>
        </w:rPr>
        <w:t xml:space="preserve"> имеют 62 озера, свыше 10 км</w:t>
      </w:r>
      <w:r>
        <w:rPr>
          <w:sz w:val="24"/>
          <w:vertAlign w:val="superscript"/>
        </w:rPr>
        <w:t xml:space="preserve">2</w:t>
      </w:r>
      <w:r>
        <w:rPr>
          <w:sz w:val="24"/>
        </w:rPr>
        <w:t xml:space="preserve"> 13 озер. Некоторые водоемы соединяются между собой протоками, образуя озерные системы. К наиболее крупным озерным системам края относятся озера Торейские (представляющие собой два соединенных протокой водоема Барун-Торей и Зун-Торей на юге края), Ивано-Арахлейские (центральная часть) и Куандо-Чарские (север региона).</w:t>
      </w:r>
    </w:p>
    <w:p>
      <w:pPr>
        <w:pStyle w:val="0"/>
        <w:spacing w:before="240" w:lineRule="auto"/>
        <w:ind w:firstLine="540"/>
        <w:jc w:val="both"/>
      </w:pPr>
      <w:r>
        <w:rPr>
          <w:sz w:val="24"/>
        </w:rPr>
        <w:t xml:space="preserve">На территории Ивано-Арахлейских озер, расположенных в центральном Забайкалье, в 2014 году создан природный парк "Ивано-Арахлейский", который традиционно является самой популярной рекреационной зоной в Забайкальском крае более 500 тыс. посещений в год. Наиболее крупные водоемы этой озерной системы - озера Арахлей, Шакшинское, Иргень, Большой Ундугун, Иван, Тасей. Еще одним любимым местом отдыха забайкальцев и гостей края является природный парк "Арей", в границы которого включено озеро Арей с водоохранной зоной и прилегающими территориями.</w:t>
      </w:r>
    </w:p>
    <w:p>
      <w:pPr>
        <w:pStyle w:val="0"/>
        <w:spacing w:before="240" w:lineRule="auto"/>
        <w:ind w:firstLine="540"/>
        <w:jc w:val="both"/>
      </w:pPr>
      <w:r>
        <w:rPr>
          <w:sz w:val="24"/>
        </w:rPr>
        <w:t xml:space="preserve">Начиная с 2018 года масштабные паводки в Забайкалье проходили ежегодно, причиняя значительный ущерб (в 2021 году 15,2 тыс. пострадавших; в 2022 году - 7,2 тыс.).</w:t>
      </w:r>
    </w:p>
    <w:p>
      <w:pPr>
        <w:pStyle w:val="0"/>
        <w:spacing w:before="240" w:lineRule="auto"/>
        <w:ind w:firstLine="540"/>
        <w:jc w:val="both"/>
      </w:pPr>
      <w:r>
        <w:rPr>
          <w:sz w:val="24"/>
        </w:rPr>
        <w:t xml:space="preserve">Количество сооружений инженерной защиты от негативного воздействия паводковых вод (гидротехнических сооружений) на территории края по состоянию на 1 января 2026 года составляет 43. Основными проблемами развития водохозяйственного комплекса Забайкальского края являются:</w:t>
      </w:r>
    </w:p>
    <w:p>
      <w:pPr>
        <w:pStyle w:val="0"/>
        <w:jc w:val="both"/>
      </w:pPr>
      <w:r>
        <w:rPr>
          <w:sz w:val="24"/>
        </w:rPr>
        <w:t xml:space="preserve">(в ред. </w:t>
      </w:r>
      <w:hyperlink w:history="0" r:id="rId25" w:tooltip="Постановление Правительства Забайкальского края от 28.01.2026 N 19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Постановления</w:t>
        </w:r>
      </w:hyperlink>
      <w:r>
        <w:rPr>
          <w:sz w:val="24"/>
        </w:rPr>
        <w:t xml:space="preserve"> Правительства Забайкальского края от 28.01.2026 N 19)</w:t>
      </w:r>
    </w:p>
    <w:p>
      <w:pPr>
        <w:pStyle w:val="0"/>
        <w:spacing w:before="240" w:lineRule="auto"/>
        <w:ind w:firstLine="540"/>
        <w:jc w:val="both"/>
      </w:pPr>
      <w:r>
        <w:rPr>
          <w:sz w:val="24"/>
        </w:rPr>
        <w:t xml:space="preserve">значительная площадь территорий, подверженных негативному воздействию вод;</w:t>
      </w:r>
    </w:p>
    <w:p>
      <w:pPr>
        <w:pStyle w:val="0"/>
        <w:spacing w:before="240" w:lineRule="auto"/>
        <w:ind w:firstLine="540"/>
        <w:jc w:val="both"/>
      </w:pPr>
      <w:r>
        <w:rPr>
          <w:sz w:val="24"/>
        </w:rPr>
        <w:t xml:space="preserve">значительный уровень износа гидротехнических сооружений;</w:t>
      </w:r>
    </w:p>
    <w:p>
      <w:pPr>
        <w:pStyle w:val="0"/>
        <w:spacing w:before="240" w:lineRule="auto"/>
        <w:ind w:firstLine="540"/>
        <w:jc w:val="both"/>
      </w:pPr>
      <w:r>
        <w:rPr>
          <w:sz w:val="24"/>
        </w:rPr>
        <w:t xml:space="preserve">высокая антропогенная нагрузка на водные объекты.</w:t>
      </w:r>
    </w:p>
    <w:p>
      <w:pPr>
        <w:pStyle w:val="0"/>
        <w:spacing w:before="240" w:lineRule="auto"/>
        <w:ind w:firstLine="540"/>
        <w:jc w:val="both"/>
      </w:pPr>
      <w:r>
        <w:rPr>
          <w:sz w:val="24"/>
        </w:rPr>
        <w:t xml:space="preserve">Геологическое изучение недр и воспроизводство минерально-сырьевой базы. Минерально-сырьевой потенциал является основным конкурентным преимуществом края, что определяет его специализацию по реализации крупных инфраструктурных и сырьевых проектов. Минерально-сырьевая база составляет основу экономики Забайкальского края. Забайкальский край является старейшим горнорудным регионом России. На его территории расположены значительные запасы различных видов полезных ископаемых.</w:t>
      </w:r>
    </w:p>
    <w:p>
      <w:pPr>
        <w:pStyle w:val="0"/>
        <w:spacing w:before="240" w:lineRule="auto"/>
        <w:ind w:firstLine="540"/>
        <w:jc w:val="both"/>
      </w:pPr>
      <w:r>
        <w:rPr>
          <w:sz w:val="24"/>
        </w:rPr>
        <w:t xml:space="preserve">Забайкальский край обладает практически неограниченными ресурсами многих видов общераспространенных полезных ископаемых (далее - ОПИ), в том числе строительного камня, строительного песка, песчано-гравийного материала и др. ОПИ относятся к тем видам полезных ископаемых, которые характеризуются частой встречаемостью, значительными площадями распространения, постоянно востребованы и экономически рентабельны при эксплуатации. ОПИ являются источниками сырья для получения готовой промышленной продукции в целях удовлетворения нужд местного производства.</w:t>
      </w:r>
    </w:p>
    <w:p>
      <w:pPr>
        <w:pStyle w:val="0"/>
        <w:spacing w:before="240" w:lineRule="auto"/>
        <w:ind w:firstLine="540"/>
        <w:jc w:val="both"/>
      </w:pPr>
      <w:r>
        <w:rPr>
          <w:sz w:val="24"/>
        </w:rPr>
        <w:t xml:space="preserve">Хозяйственное использование ОПИ имеет большое значение для социально-экономического развития Забайкальского края, развития малого и среднего бизнеса, обеспечения занятости населения. ОПИ используются для строительства жилья и промышленных объектов, развития сети автомобильных дорог федерального и местного значения.</w:t>
      </w:r>
    </w:p>
    <w:p>
      <w:pPr>
        <w:pStyle w:val="0"/>
        <w:jc w:val="both"/>
      </w:pPr>
      <w:r>
        <w:rPr>
          <w:sz w:val="24"/>
        </w:rPr>
      </w:r>
    </w:p>
    <w:p>
      <w:pPr>
        <w:pStyle w:val="2"/>
        <w:outlineLvl w:val="2"/>
        <w:jc w:val="center"/>
      </w:pPr>
      <w:r>
        <w:rPr>
          <w:sz w:val="24"/>
        </w:rPr>
        <w:t xml:space="preserve">2. 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center"/>
      </w:pPr>
      <w:r>
        <w:rPr>
          <w:sz w:val="24"/>
        </w:rPr>
      </w:r>
    </w:p>
    <w:p>
      <w:pPr>
        <w:pStyle w:val="0"/>
        <w:jc w:val="center"/>
      </w:pPr>
      <w:r>
        <w:rPr>
          <w:sz w:val="24"/>
        </w:rPr>
        <w:t xml:space="preserve">(в ред. </w:t>
      </w:r>
      <w:hyperlink w:history="0" r:id="rId26"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Постановления</w:t>
        </w:r>
      </w:hyperlink>
      <w:r>
        <w:rPr>
          <w:sz w:val="24"/>
        </w:rPr>
        <w:t xml:space="preserve"> Правительства Забайкальского края</w:t>
      </w:r>
    </w:p>
    <w:p>
      <w:pPr>
        <w:pStyle w:val="0"/>
        <w:jc w:val="center"/>
      </w:pPr>
      <w:r>
        <w:rPr>
          <w:sz w:val="24"/>
        </w:rPr>
        <w:t xml:space="preserve">от 23.01.2025 N 15)</w:t>
      </w:r>
    </w:p>
    <w:p>
      <w:pPr>
        <w:pStyle w:val="0"/>
        <w:jc w:val="both"/>
      </w:pPr>
      <w:r>
        <w:rPr>
          <w:sz w:val="24"/>
        </w:rPr>
      </w:r>
    </w:p>
    <w:p>
      <w:pPr>
        <w:pStyle w:val="0"/>
        <w:ind w:firstLine="540"/>
        <w:jc w:val="both"/>
      </w:pPr>
      <w:r>
        <w:rPr>
          <w:sz w:val="24"/>
        </w:rPr>
        <w:t xml:space="preserve">Приоритеты государственной политики в сфере реализации государственной программы определены следующими основными стратегическими документами:</w:t>
      </w:r>
    </w:p>
    <w:p>
      <w:pPr>
        <w:pStyle w:val="0"/>
        <w:spacing w:before="240" w:lineRule="auto"/>
        <w:ind w:firstLine="540"/>
        <w:jc w:val="both"/>
      </w:pPr>
      <w:hyperlink w:history="0" r:id="rId2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Указ Президента Российской Федерации о национальных целях развития Российской Федерации);</w:t>
      </w:r>
    </w:p>
    <w:p>
      <w:pPr>
        <w:pStyle w:val="0"/>
        <w:spacing w:before="240" w:lineRule="auto"/>
        <w:ind w:firstLine="540"/>
        <w:jc w:val="both"/>
      </w:pPr>
      <w:hyperlink w:history="0" r:id="rId28" w:tooltip="Постановление Правительства РФ от 15.04.2014 N 322 (ред. от 23.12.2025) &quot;Об утверждении государственной программы Российской Федерации &quot;Воспроизводство и использование природных ресурсов&quot; {КонсультантПлюс}">
        <w:r>
          <w:rPr>
            <w:sz w:val="24"/>
            <w:color w:val="0000ff"/>
          </w:rPr>
          <w:t xml:space="preserve">постановление</w:t>
        </w:r>
      </w:hyperlink>
      <w:r>
        <w:rPr>
          <w:sz w:val="24"/>
        </w:rPr>
        <w:t xml:space="preserve"> Правительства Российской Федерации от 15 апреля 2014 года N 322 "Об утверждении государственной программы Российской Федерации "Воспроизводство и использование природных ресурсов";</w:t>
      </w:r>
    </w:p>
    <w:p>
      <w:pPr>
        <w:pStyle w:val="0"/>
        <w:spacing w:before="240" w:lineRule="auto"/>
        <w:ind w:firstLine="540"/>
        <w:jc w:val="both"/>
      </w:pPr>
      <w:hyperlink w:history="0" r:id="rId29" w:tooltip="Распоряжение Правительства РФ от 11.07.2024 N 1838-р &lt;Об утверждении Стратегии развития минерально-сырьевой базы Российской Федерации до 2050 года&gt; {КонсультантПлюс}">
        <w:r>
          <w:rPr>
            <w:sz w:val="24"/>
            <w:color w:val="0000ff"/>
          </w:rPr>
          <w:t xml:space="preserve">распоряжение</w:t>
        </w:r>
      </w:hyperlink>
      <w:r>
        <w:rPr>
          <w:sz w:val="24"/>
        </w:rPr>
        <w:t xml:space="preserve"> Правительства Российской Федерации от 11 июля 2024 года N 1838-р "Об утверждении Стратегии развития минерально-сырьевой базы Российской Федерации до 2050 года" (далее - Стратегии развития минерально-сырьевой базы Российской Федерации);</w:t>
      </w:r>
    </w:p>
    <w:p>
      <w:pPr>
        <w:pStyle w:val="0"/>
        <w:spacing w:before="240" w:lineRule="auto"/>
        <w:ind w:firstLine="540"/>
        <w:jc w:val="both"/>
      </w:pPr>
      <w:hyperlink w:history="0" r:id="rId30" w:tooltip="Постановление Правительства Забайкальского края от 02.06.2023 N 272 (ред. от 21.01.2026) &quot;Об утверждении Стратегии социально-экономического развития Забайкальского края до 2035 года&quot; {КонсультантПлюс}">
        <w:r>
          <w:rPr>
            <w:sz w:val="24"/>
            <w:color w:val="0000ff"/>
          </w:rPr>
          <w:t xml:space="preserve">постановление</w:t>
        </w:r>
      </w:hyperlink>
      <w:r>
        <w:rPr>
          <w:sz w:val="24"/>
        </w:rPr>
        <w:t xml:space="preserve"> Правительства Забайкальского края от 2 июня 2023 года N 272 "Об утверждении Стратегии социально-экономического развития Забайкальского края до 2035 года" (далее - Стратегия Забайкальского края).</w:t>
      </w:r>
    </w:p>
    <w:p>
      <w:pPr>
        <w:pStyle w:val="0"/>
        <w:spacing w:before="240" w:lineRule="auto"/>
        <w:ind w:firstLine="540"/>
        <w:jc w:val="both"/>
      </w:pPr>
      <w:r>
        <w:rPr>
          <w:sz w:val="24"/>
        </w:rPr>
        <w:t xml:space="preserve">Исходя из приоритетов государственной политики в достижении национальных целей развития Российской Федерации значительная роль принадлежит использованию природных ресурсов, развитию минерально-сырьевого и водного потенциалов. Наиболее весомый вклад природных ресурсов отмечается при решении задач в рамках национальных целей развития "Комфортная и безопасная среда для жизни", "Экологическое благополучие", "Устойчивая и динамичная экономика", "Технологическое лидерство". Реализация государственной </w:t>
      </w:r>
      <w:hyperlink w:history="0" r:id="rId31" w:tooltip="Постановление Правительства Забайкальского края от 28.10.2013 N 465 (ред. от 09.04.2024) &quot;Об утверждении государственной программы Забайкальского края &quot;Воспроизводство и использование природных ресурсов&quot; ------------ Недействующая редакция {КонсультантПлюс}">
        <w:r>
          <w:rPr>
            <w:sz w:val="24"/>
            <w:color w:val="0000ff"/>
          </w:rPr>
          <w:t xml:space="preserve">программы</w:t>
        </w:r>
      </w:hyperlink>
      <w:r>
        <w:rPr>
          <w:sz w:val="24"/>
        </w:rPr>
        <w:t xml:space="preserve"> Забайкальского края "Воспроизводство и использование природных ресурсов" (далее - государственная программа) окажет косвенное влияние на достижение целевых показателей, характеризующих достижение вышеобозначенных национальных целей развития.</w:t>
      </w:r>
    </w:p>
    <w:p>
      <w:pPr>
        <w:pStyle w:val="0"/>
        <w:spacing w:before="240" w:lineRule="auto"/>
        <w:ind w:firstLine="540"/>
        <w:jc w:val="both"/>
      </w:pPr>
      <w:r>
        <w:rPr>
          <w:sz w:val="24"/>
        </w:rPr>
        <w:t xml:space="preserve">Реализация государственной программы также окажет косвенное влияние на национальную цель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Ежегодные мероприятия по очистке от мусора берегов водных объектов с участием населения позволяют расчистить берега водных объектов и влияют на формирование в сознании различных возрастных групп населения основных принципов бережного отношения к водным объектам как к уникальным, жизненно важным ресурсам для населения страны в целом и повышения экологической культуры граждан.</w:t>
      </w:r>
    </w:p>
    <w:p>
      <w:pPr>
        <w:pStyle w:val="0"/>
        <w:spacing w:before="240" w:lineRule="auto"/>
        <w:ind w:firstLine="540"/>
        <w:jc w:val="both"/>
      </w:pPr>
      <w:r>
        <w:rPr>
          <w:sz w:val="24"/>
        </w:rPr>
        <w:t xml:space="preserve">Основными целями государственной политики на территории Забайкальского края в соответствии с государственной </w:t>
      </w:r>
      <w:hyperlink w:history="0" r:id="rId32" w:tooltip="Постановление Правительства РФ от 15.04.2014 N 322 (ред. от 23.12.2025) &quot;Об утверждении государственной программы Российской Федерации &quot;Воспроизводство и использование природных ресурсов&quot; {КонсультантПлюс}">
        <w:r>
          <w:rPr>
            <w:sz w:val="24"/>
            <w:color w:val="0000ff"/>
          </w:rPr>
          <w:t xml:space="preserve">программой</w:t>
        </w:r>
      </w:hyperlink>
      <w:r>
        <w:rPr>
          <w:sz w:val="24"/>
        </w:rPr>
        <w:t xml:space="preserve"> Российской Федерации "Воспроизводство и использование природных ресурсов" являются:</w:t>
      </w:r>
    </w:p>
    <w:p>
      <w:pPr>
        <w:pStyle w:val="0"/>
        <w:spacing w:before="240" w:lineRule="auto"/>
        <w:ind w:firstLine="540"/>
        <w:jc w:val="both"/>
      </w:pPr>
      <w:r>
        <w:rPr>
          <w:sz w:val="24"/>
        </w:rPr>
        <w:t xml:space="preserve">1) в сфере развития водохозяйственного комплекса:</w:t>
      </w:r>
    </w:p>
    <w:p>
      <w:pPr>
        <w:pStyle w:val="0"/>
        <w:spacing w:before="240" w:lineRule="auto"/>
        <w:ind w:firstLine="540"/>
        <w:jc w:val="both"/>
      </w:pPr>
      <w:r>
        <w:rPr>
          <w:sz w:val="24"/>
        </w:rPr>
        <w:t xml:space="preserve">обеспечение защищенности населения и объектов экономики от наводнений и иного негативного воздействия вод. 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Российской Федерации и снижения размера возможного ущерба от негативного воздействия вод;</w:t>
      </w:r>
    </w:p>
    <w:p>
      <w:pPr>
        <w:pStyle w:val="0"/>
        <w:spacing w:before="240" w:lineRule="auto"/>
        <w:ind w:firstLine="540"/>
        <w:jc w:val="both"/>
      </w:pPr>
      <w:r>
        <w:rPr>
          <w:sz w:val="24"/>
        </w:rPr>
        <w:t xml:space="preserve">восстановление водных объектов до состояния, обеспечивающего экологически благоприятные условия жизни населения. Улучшение качества воды в водных объектах является важнейшим условием достижения высоких стандартов жизни населения, создания комфортных экологических условий и обеспечения интересов будущих поколений жителей Российской Федерации;</w:t>
      </w:r>
    </w:p>
    <w:p>
      <w:pPr>
        <w:pStyle w:val="0"/>
        <w:spacing w:before="240" w:lineRule="auto"/>
        <w:ind w:firstLine="540"/>
        <w:jc w:val="both"/>
      </w:pPr>
      <w:r>
        <w:rPr>
          <w:sz w:val="24"/>
        </w:rPr>
        <w:t xml:space="preserve">2) в сфере воспроизводства минерально-сырьевой базы:</w:t>
      </w:r>
    </w:p>
    <w:p>
      <w:pPr>
        <w:pStyle w:val="0"/>
        <w:spacing w:before="240" w:lineRule="auto"/>
        <w:ind w:firstLine="540"/>
        <w:jc w:val="both"/>
      </w:pPr>
      <w:r>
        <w:rPr>
          <w:sz w:val="24"/>
        </w:rPr>
        <w:t xml:space="preserve">обеспечение рационального использования недр и охрана недр;</w:t>
      </w:r>
    </w:p>
    <w:p>
      <w:pPr>
        <w:pStyle w:val="0"/>
        <w:spacing w:before="240" w:lineRule="auto"/>
        <w:ind w:firstLine="540"/>
        <w:jc w:val="both"/>
      </w:pPr>
      <w:r>
        <w:rPr>
          <w:sz w:val="24"/>
        </w:rPr>
        <w:t xml:space="preserve">развитие минерально-сырьевой базы полезных ископаемых и подземных вод.</w:t>
      </w:r>
    </w:p>
    <w:p>
      <w:pPr>
        <w:pStyle w:val="0"/>
        <w:spacing w:before="240" w:lineRule="auto"/>
        <w:ind w:firstLine="540"/>
        <w:jc w:val="both"/>
      </w:pPr>
      <w:r>
        <w:rPr>
          <w:sz w:val="24"/>
        </w:rPr>
        <w:t xml:space="preserve">Согласно Стратегии развития минерально-сырьевой базы Российской Федерации приоритетом Российской Федерации в сфере государственного геологического изучения недр и развития минерально-сырьевой базы на долгосрочную перспективу являются обеспечение экономики страны геологической информацией о недрах и формирование экономически обоснованного баланса между необходимым и достаточным внутренним потреблением, экспортом и импортом минерального сырья, который достигается путем своевременного воспроизводства и рационального использования запасов полезных ископаемых.</w:t>
      </w:r>
    </w:p>
    <w:p>
      <w:pPr>
        <w:pStyle w:val="0"/>
        <w:spacing w:before="240" w:lineRule="auto"/>
        <w:ind w:firstLine="540"/>
        <w:jc w:val="both"/>
      </w:pPr>
      <w:r>
        <w:rPr>
          <w:sz w:val="24"/>
        </w:rPr>
        <w:t xml:space="preserve">Стратегической целью развития минерально-сырьевой базы является создание условий для устойчивого обеспечения минеральным сырьем (инертными материалами) строительной отрасли с целью социально-экономического развития и поддержания необходимого уровня экономической безопасности Российской Федерации (ремонт, строительство, содержание автомобильных и железнодорожных дорог).</w:t>
      </w:r>
    </w:p>
    <w:p>
      <w:pPr>
        <w:pStyle w:val="0"/>
        <w:spacing w:before="240" w:lineRule="auto"/>
        <w:ind w:firstLine="540"/>
        <w:jc w:val="both"/>
      </w:pPr>
      <w:r>
        <w:rPr>
          <w:sz w:val="24"/>
        </w:rPr>
        <w:t xml:space="preserve">В стратегической перспективе приоритетами развития геологоразведочной деятельности в Забайкальском крае определены повышение инвестиционной привлекательности геологического изучения недр, воспроизводства минерально-сырьевой базы и наращивание минерально-сырьевого комплекса края.</w:t>
      </w:r>
    </w:p>
    <w:p>
      <w:pPr>
        <w:pStyle w:val="0"/>
        <w:spacing w:before="240" w:lineRule="auto"/>
        <w:ind w:firstLine="540"/>
        <w:jc w:val="both"/>
      </w:pPr>
      <w:r>
        <w:rPr>
          <w:sz w:val="24"/>
        </w:rPr>
        <w:t xml:space="preserve">С учетом ограничений для реализации потенциала использования минерально-сырьевой базы определены основные факторы возникновения системных проблем в сфере недропользования:</w:t>
      </w:r>
    </w:p>
    <w:p>
      <w:pPr>
        <w:pStyle w:val="0"/>
        <w:spacing w:before="240" w:lineRule="auto"/>
        <w:ind w:firstLine="540"/>
        <w:jc w:val="both"/>
      </w:pPr>
      <w:r>
        <w:rPr>
          <w:sz w:val="24"/>
        </w:rPr>
        <w:t xml:space="preserve">1) ухудшение состояния минерально-сырьевой базы вследствие отсутствия системной геологоразведки;</w:t>
      </w:r>
    </w:p>
    <w:p>
      <w:pPr>
        <w:pStyle w:val="0"/>
        <w:spacing w:before="240" w:lineRule="auto"/>
        <w:ind w:firstLine="540"/>
        <w:jc w:val="both"/>
      </w:pPr>
      <w:r>
        <w:rPr>
          <w:sz w:val="24"/>
        </w:rPr>
        <w:t xml:space="preserve">2) низкое содержание полезного компонента в руде на участках недр;</w:t>
      </w:r>
    </w:p>
    <w:p>
      <w:pPr>
        <w:pStyle w:val="0"/>
        <w:spacing w:before="240" w:lineRule="auto"/>
        <w:ind w:firstLine="540"/>
        <w:jc w:val="both"/>
      </w:pPr>
      <w:r>
        <w:rPr>
          <w:sz w:val="24"/>
        </w:rPr>
        <w:t xml:space="preserve">3) отсутствие транспортной и энергетической инфраструктуры для эксплуатации месторождений нераспределенного фонда;</w:t>
      </w:r>
    </w:p>
    <w:p>
      <w:pPr>
        <w:pStyle w:val="0"/>
        <w:spacing w:before="240" w:lineRule="auto"/>
        <w:ind w:firstLine="540"/>
        <w:jc w:val="both"/>
      </w:pPr>
      <w:r>
        <w:rPr>
          <w:sz w:val="24"/>
        </w:rPr>
        <w:t xml:space="preserve">4) уменьшение квалифицированных трудовых ресурсов в геологоразведочной и горнорудной отраслях;</w:t>
      </w:r>
    </w:p>
    <w:p>
      <w:pPr>
        <w:pStyle w:val="0"/>
        <w:spacing w:before="240" w:lineRule="auto"/>
        <w:ind w:firstLine="540"/>
        <w:jc w:val="both"/>
      </w:pPr>
      <w:r>
        <w:rPr>
          <w:sz w:val="24"/>
        </w:rPr>
        <w:t xml:space="preserve">5) недостаток достоверных данных, отражающих реальное современное положение дел в пользовании участками недр, содержащими ОПИ.</w:t>
      </w:r>
    </w:p>
    <w:p>
      <w:pPr>
        <w:pStyle w:val="0"/>
        <w:spacing w:before="240" w:lineRule="auto"/>
        <w:ind w:firstLine="540"/>
        <w:jc w:val="both"/>
      </w:pPr>
      <w:r>
        <w:rPr>
          <w:sz w:val="24"/>
        </w:rPr>
        <w:t xml:space="preserve">За прошедшие годы ситуация на отдельных участках недр значительно изменилась, и они стали недоступны для отработки из-за застройки территории и по иным причинам. Актуальны работы по ревизионному обследованию месторождений нераспределенного фонда всех видов ОПИ края.</w:t>
      </w:r>
    </w:p>
    <w:p>
      <w:pPr>
        <w:pStyle w:val="0"/>
        <w:spacing w:before="240" w:lineRule="auto"/>
        <w:ind w:firstLine="540"/>
        <w:jc w:val="both"/>
      </w:pPr>
      <w:r>
        <w:rPr>
          <w:sz w:val="24"/>
        </w:rPr>
        <w:t xml:space="preserve">В соответствии со Стратегией Забайкальского края в рамках приоритетов развития с учетом ключевых проблем и конкурентных преимуществ Забайкальского края определены ключевые направления, цели направлений и основные задачи для достижения этих целей.</w:t>
      </w:r>
    </w:p>
    <w:p>
      <w:pPr>
        <w:pStyle w:val="0"/>
        <w:spacing w:before="240" w:lineRule="auto"/>
        <w:ind w:firstLine="540"/>
        <w:jc w:val="both"/>
      </w:pPr>
      <w:r>
        <w:rPr>
          <w:sz w:val="24"/>
        </w:rPr>
        <w:t xml:space="preserve">Реализация государственной программы будет происходить в рамках приоритетов развития одного из ключевых направлений Стратегии Забайкальского края - это обеспечение безопасности жизнедеятельности населения, которое относится к приоритету - Развитие человеческого капитала (стратегическая цель - 1).</w:t>
      </w:r>
    </w:p>
    <w:p>
      <w:pPr>
        <w:pStyle w:val="0"/>
        <w:spacing w:before="240" w:lineRule="auto"/>
        <w:ind w:firstLine="540"/>
        <w:jc w:val="both"/>
      </w:pPr>
      <w:r>
        <w:rPr>
          <w:sz w:val="24"/>
        </w:rPr>
        <w:t xml:space="preserve">Важным фактором качества жизни населения является окружающая среда: уровень атмосферной, гидротехнической, пожарной, транспортной и общественной безопасности.</w:t>
      </w:r>
    </w:p>
    <w:p>
      <w:pPr>
        <w:pStyle w:val="0"/>
        <w:spacing w:before="240" w:lineRule="auto"/>
        <w:ind w:firstLine="540"/>
        <w:jc w:val="both"/>
      </w:pPr>
      <w:r>
        <w:rPr>
          <w:sz w:val="24"/>
        </w:rPr>
        <w:t xml:space="preserve">Целью направления Стратегии Забайкальского края (в рамках реализации государственной программы) является создание в Забайкальском крае привлекательной среды для проживания человека и ведения бизнеса благодаря обеспечению высокого уровня безопасности жизнедеятельности.</w:t>
      </w:r>
    </w:p>
    <w:p>
      <w:pPr>
        <w:pStyle w:val="0"/>
        <w:spacing w:before="240" w:lineRule="auto"/>
        <w:ind w:firstLine="540"/>
        <w:jc w:val="both"/>
      </w:pPr>
      <w:r>
        <w:rPr>
          <w:sz w:val="24"/>
        </w:rPr>
        <w:t xml:space="preserve">Основная задача для достижения этой цели, помимо прочего, - повышение эффективности защиты территории и населения от чрезвычайных ситуаций, обеспечение пожарной безопасности и безопасности людей на водных объектах.</w:t>
      </w:r>
    </w:p>
    <w:p>
      <w:pPr>
        <w:pStyle w:val="0"/>
        <w:spacing w:before="240" w:lineRule="auto"/>
        <w:ind w:firstLine="540"/>
        <w:jc w:val="both"/>
      </w:pPr>
      <w:r>
        <w:rPr>
          <w:sz w:val="24"/>
        </w:rPr>
        <w:t xml:space="preserve">С учетом приоритетов государственной политики в сфере рационального природопользования сформулированы цели настоящей государственной программы к концу 2035 года:</w:t>
      </w:r>
    </w:p>
    <w:p>
      <w:pPr>
        <w:pStyle w:val="0"/>
        <w:spacing w:before="240" w:lineRule="auto"/>
        <w:ind w:firstLine="540"/>
        <w:jc w:val="both"/>
      </w:pPr>
      <w:r>
        <w:rPr>
          <w:sz w:val="24"/>
        </w:rPr>
        <w:t xml:space="preserve">обеспечены защита населения (53 163 человека) и объектов экономики от негативного воздействия вод, а также сохранение водных экосистем;</w:t>
      </w:r>
    </w:p>
    <w:p>
      <w:pPr>
        <w:pStyle w:val="0"/>
        <w:spacing w:before="240" w:lineRule="auto"/>
        <w:ind w:firstLine="540"/>
        <w:jc w:val="both"/>
      </w:pPr>
      <w:r>
        <w:rPr>
          <w:sz w:val="24"/>
        </w:rPr>
        <w:t xml:space="preserve">обеспечены комфортные условия для жизни (216 249 человек) вблизи водных объектов в связи с их экологическим оздоровлением;</w:t>
      </w:r>
    </w:p>
    <w:p>
      <w:pPr>
        <w:pStyle w:val="0"/>
        <w:spacing w:before="240" w:lineRule="auto"/>
        <w:ind w:firstLine="540"/>
        <w:jc w:val="both"/>
      </w:pPr>
      <w:r>
        <w:rPr>
          <w:sz w:val="24"/>
        </w:rPr>
        <w:t xml:space="preserve">сформировано устойчивое сбалансированное развитие минерально-сырьевой базы полезных ископаемых и подземных вод по увеличению запасов месторождений полезных ископаемых на 170%.</w:t>
      </w:r>
    </w:p>
    <w:p>
      <w:pPr>
        <w:pStyle w:val="0"/>
        <w:jc w:val="both"/>
      </w:pPr>
      <w:r>
        <w:rPr>
          <w:sz w:val="24"/>
        </w:rPr>
      </w:r>
    </w:p>
    <w:p>
      <w:pPr>
        <w:pStyle w:val="2"/>
        <w:outlineLvl w:val="2"/>
        <w:jc w:val="center"/>
      </w:pPr>
      <w:r>
        <w:rPr>
          <w:sz w:val="24"/>
        </w:rPr>
        <w:t xml:space="preserve">3. Сведения о взаимосвязи государственной программы со</w:t>
      </w:r>
    </w:p>
    <w:p>
      <w:pPr>
        <w:pStyle w:val="2"/>
        <w:jc w:val="center"/>
      </w:pPr>
      <w:r>
        <w:rPr>
          <w:sz w:val="24"/>
        </w:rPr>
        <w:t xml:space="preserve">стратегическими приоритетами, целями и показателями</w:t>
      </w:r>
    </w:p>
    <w:p>
      <w:pPr>
        <w:pStyle w:val="2"/>
        <w:jc w:val="center"/>
      </w:pPr>
      <w:r>
        <w:rPr>
          <w:sz w:val="24"/>
        </w:rPr>
        <w:t xml:space="preserve">государственных программ Российской Федерации</w:t>
      </w:r>
    </w:p>
    <w:p>
      <w:pPr>
        <w:pStyle w:val="0"/>
        <w:jc w:val="both"/>
      </w:pPr>
      <w:r>
        <w:rPr>
          <w:sz w:val="24"/>
        </w:rPr>
      </w:r>
    </w:p>
    <w:p>
      <w:pPr>
        <w:pStyle w:val="0"/>
        <w:ind w:firstLine="540"/>
        <w:jc w:val="both"/>
      </w:pPr>
      <w:r>
        <w:rPr>
          <w:sz w:val="24"/>
        </w:rPr>
        <w:t xml:space="preserve">Выполнение мероприятий государственной программы осуществляется во взаимосвязи с мероприятиями ряда комплексных программ Российской Федерации и создает условия для достижения показателей социально-экономического развития Российской Федерации.</w:t>
      </w:r>
    </w:p>
    <w:p>
      <w:pPr>
        <w:pStyle w:val="0"/>
        <w:spacing w:before="240" w:lineRule="auto"/>
        <w:ind w:firstLine="540"/>
        <w:jc w:val="both"/>
      </w:pPr>
      <w:r>
        <w:rPr>
          <w:sz w:val="24"/>
        </w:rPr>
        <w:t xml:space="preserve">Мероприятия государственной программы оказывают влияние на реализацию мероприятий федерального проекта "Защита от наводнений и иных негативных воздействий вод и обеспечение безопасности гидротехнических сооружений". На сельских территориях проводятся мероприятия по расчистке участков русел рек и мероприятия по строительству и реконструкции сооружений инженерной защиты.</w:t>
      </w:r>
    </w:p>
    <w:p>
      <w:pPr>
        <w:pStyle w:val="0"/>
        <w:spacing w:before="240" w:lineRule="auto"/>
        <w:ind w:firstLine="540"/>
        <w:jc w:val="both"/>
      </w:pPr>
      <w:r>
        <w:rPr>
          <w:sz w:val="24"/>
        </w:rPr>
        <w:t xml:space="preserve">Структурные элементы государственной программы соотнесены с целями и показателями государственной </w:t>
      </w:r>
      <w:hyperlink w:history="0" r:id="rId33" w:tooltip="Постановление Правительства РФ от 15.04.2014 N 322 (ред. от 23.12.2025) &quot;Об утверждении государственной программы Российской Федерации &quot;Воспроизводство и использование природных ресурсов&quot; {КонсультантПлюс}">
        <w:r>
          <w:rPr>
            <w:sz w:val="24"/>
            <w:color w:val="0000ff"/>
          </w:rPr>
          <w:t xml:space="preserve">программы</w:t>
        </w:r>
      </w:hyperlink>
      <w:r>
        <w:rPr>
          <w:sz w:val="24"/>
        </w:rPr>
        <w:t xml:space="preserve"> Российской Федерации "Воспроизводство и использование природных ресурсов", утвержденной постановлением Правительства Российской Федерации от 15 апреля 2014 года N 322. В области использования водных объектов, обеспечивающих укрепление национальной безопасности Российской Федерации в рамках достижения цели "Обеспечение защищенности к 2030 году более 0,8 млн. человек, проживающих на территориях, подверженных негативному воздействию вод", определено выполнение задач по строительству сооружений инженерной защиты, выполнению превентивных противопаводковых мероприятий, повышающих пропускную способность водотоков, обеспечению безопасности гидротехнических сооружений региональной и муниципальной форм собственности и бесхозяйных гидротехнических сооружений.</w:t>
      </w:r>
    </w:p>
    <w:p>
      <w:pPr>
        <w:pStyle w:val="0"/>
        <w:jc w:val="both"/>
      </w:pPr>
      <w:r>
        <w:rPr>
          <w:sz w:val="24"/>
        </w:rPr>
        <w:t xml:space="preserve">(в ред. </w:t>
      </w:r>
      <w:hyperlink w:history="0" r:id="rId34"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Постановления</w:t>
        </w:r>
      </w:hyperlink>
      <w:r>
        <w:rPr>
          <w:sz w:val="24"/>
        </w:rPr>
        <w:t xml:space="preserve"> Правительства Забайкальского края от 23.01.2025 N 15)</w:t>
      </w:r>
    </w:p>
    <w:p>
      <w:pPr>
        <w:pStyle w:val="0"/>
        <w:spacing w:before="240" w:lineRule="auto"/>
        <w:ind w:firstLine="540"/>
        <w:jc w:val="both"/>
      </w:pPr>
      <w:r>
        <w:rPr>
          <w:sz w:val="24"/>
        </w:rPr>
        <w:t xml:space="preserve">Во исполнение </w:t>
      </w:r>
      <w:hyperlink w:history="0" r:id="rId3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Указа</w:t>
        </w:r>
      </w:hyperlink>
      <w:r>
        <w:rPr>
          <w:sz w:val="24"/>
        </w:rPr>
        <w:t xml:space="preserve"> Президента Российской Федерации о национальных целях развития Российской Федерации, в рамках национального проекта "Экологическое благополучие" утвержден паспорт федерального проекта "Вода России".</w:t>
      </w:r>
    </w:p>
    <w:p>
      <w:pPr>
        <w:pStyle w:val="0"/>
        <w:jc w:val="both"/>
      </w:pPr>
      <w:r>
        <w:rPr>
          <w:sz w:val="24"/>
        </w:rPr>
        <w:t xml:space="preserve">(абзац введен </w:t>
      </w:r>
      <w:hyperlink w:history="0" r:id="rId36"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Постановлением</w:t>
        </w:r>
      </w:hyperlink>
      <w:r>
        <w:rPr>
          <w:sz w:val="24"/>
        </w:rPr>
        <w:t xml:space="preserve"> Правительства Забайкальского края от 23.01.2025 N 15)</w:t>
      </w:r>
    </w:p>
    <w:p>
      <w:pPr>
        <w:pStyle w:val="0"/>
        <w:spacing w:before="240" w:lineRule="auto"/>
        <w:ind w:firstLine="540"/>
        <w:jc w:val="both"/>
      </w:pPr>
      <w:r>
        <w:rPr>
          <w:sz w:val="24"/>
        </w:rPr>
        <w:t xml:space="preserve">Мероприятия федерального проекта "Вода России" в том числе направлены на экологическое оздоровление водных объектов, вследствие чего к концу 2030 года будут обеспечены комфортные условия для жизни 23,2 млн. человек вблизи водных объектов.</w:t>
      </w:r>
    </w:p>
    <w:p>
      <w:pPr>
        <w:pStyle w:val="0"/>
        <w:jc w:val="both"/>
      </w:pPr>
      <w:r>
        <w:rPr>
          <w:sz w:val="24"/>
        </w:rPr>
        <w:t xml:space="preserve">(абзац введен </w:t>
      </w:r>
      <w:hyperlink w:history="0" r:id="rId37"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Постановлением</w:t>
        </w:r>
      </w:hyperlink>
      <w:r>
        <w:rPr>
          <w:sz w:val="24"/>
        </w:rPr>
        <w:t xml:space="preserve"> Правительства Забайкальского края от 23.01.2025 N 15)</w:t>
      </w:r>
    </w:p>
    <w:p>
      <w:pPr>
        <w:pStyle w:val="0"/>
        <w:spacing w:before="240" w:lineRule="auto"/>
        <w:ind w:firstLine="540"/>
        <w:jc w:val="both"/>
      </w:pPr>
      <w:r>
        <w:rPr>
          <w:sz w:val="24"/>
        </w:rPr>
        <w:t xml:space="preserve">Основной целью регионального проекта "Вода России (Забайкальский край)" является улучшение экологического состояния водных объектов.</w:t>
      </w:r>
    </w:p>
    <w:p>
      <w:pPr>
        <w:pStyle w:val="0"/>
        <w:jc w:val="both"/>
      </w:pPr>
      <w:r>
        <w:rPr>
          <w:sz w:val="24"/>
        </w:rPr>
        <w:t xml:space="preserve">(абзац введен </w:t>
      </w:r>
      <w:hyperlink w:history="0" r:id="rId38"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Постановлением</w:t>
        </w:r>
      </w:hyperlink>
      <w:r>
        <w:rPr>
          <w:sz w:val="24"/>
        </w:rPr>
        <w:t xml:space="preserve"> Правительства Забайкальского края от 23.01.2025 N 15)</w:t>
      </w:r>
    </w:p>
    <w:p>
      <w:pPr>
        <w:pStyle w:val="0"/>
        <w:jc w:val="both"/>
      </w:pPr>
      <w:r>
        <w:rPr>
          <w:sz w:val="24"/>
        </w:rPr>
      </w:r>
    </w:p>
    <w:p>
      <w:pPr>
        <w:pStyle w:val="2"/>
        <w:outlineLvl w:val="2"/>
        <w:jc w:val="center"/>
      </w:pPr>
      <w:r>
        <w:rPr>
          <w:sz w:val="24"/>
        </w:rPr>
        <w:t xml:space="preserve">4. Задачи государственного управления и способы их</w:t>
      </w:r>
    </w:p>
    <w:p>
      <w:pPr>
        <w:pStyle w:val="2"/>
        <w:jc w:val="center"/>
      </w:pPr>
      <w:r>
        <w:rPr>
          <w:sz w:val="24"/>
        </w:rPr>
        <w:t xml:space="preserve">эффективного решения в сфере реализации государственной</w:t>
      </w:r>
    </w:p>
    <w:p>
      <w:pPr>
        <w:pStyle w:val="2"/>
        <w:jc w:val="center"/>
      </w:pPr>
      <w:r>
        <w:rPr>
          <w:sz w:val="24"/>
        </w:rPr>
        <w:t xml:space="preserve">программы</w:t>
      </w:r>
    </w:p>
    <w:p>
      <w:pPr>
        <w:pStyle w:val="0"/>
        <w:jc w:val="center"/>
      </w:pPr>
      <w:r>
        <w:rPr>
          <w:sz w:val="24"/>
        </w:rPr>
      </w:r>
    </w:p>
    <w:p>
      <w:pPr>
        <w:pStyle w:val="0"/>
        <w:jc w:val="center"/>
      </w:pPr>
      <w:r>
        <w:rPr>
          <w:sz w:val="24"/>
        </w:rPr>
        <w:t xml:space="preserve">(в ред. </w:t>
      </w:r>
      <w:hyperlink w:history="0" r:id="rId39" w:tooltip="Постановление Правительства Забайкальского края от 28.01.2026 N 19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Постановления</w:t>
        </w:r>
      </w:hyperlink>
      <w:r>
        <w:rPr>
          <w:sz w:val="24"/>
        </w:rPr>
        <w:t xml:space="preserve"> Правительства Забайкальского края</w:t>
      </w:r>
    </w:p>
    <w:p>
      <w:pPr>
        <w:pStyle w:val="0"/>
        <w:jc w:val="center"/>
      </w:pPr>
      <w:r>
        <w:rPr>
          <w:sz w:val="24"/>
        </w:rPr>
        <w:t xml:space="preserve">от 28.01.2026 N 19)</w:t>
      </w:r>
    </w:p>
    <w:p>
      <w:pPr>
        <w:pStyle w:val="0"/>
        <w:jc w:val="both"/>
      </w:pPr>
      <w:r>
        <w:rPr>
          <w:sz w:val="24"/>
        </w:rPr>
      </w:r>
    </w:p>
    <w:p>
      <w:pPr>
        <w:pStyle w:val="0"/>
        <w:ind w:firstLine="540"/>
        <w:jc w:val="both"/>
      </w:pPr>
      <w:r>
        <w:rPr>
          <w:sz w:val="24"/>
        </w:rPr>
        <w:t xml:space="preserve">Необходимость достижения цели государственной программы "К концу 2035 года обеспечены защита населения (53 163 человека) и объектов экономики от негативного воздействия вод, а также сохранение водных экосистем" предусматривает:</w:t>
      </w:r>
    </w:p>
    <w:p>
      <w:pPr>
        <w:pStyle w:val="0"/>
        <w:spacing w:before="240" w:lineRule="auto"/>
        <w:ind w:firstLine="540"/>
        <w:jc w:val="both"/>
      </w:pPr>
      <w:r>
        <w:rPr>
          <w:sz w:val="24"/>
        </w:rPr>
        <w:t xml:space="preserve">1) решение следующих основных задач:</w:t>
      </w:r>
    </w:p>
    <w:p>
      <w:pPr>
        <w:pStyle w:val="0"/>
        <w:spacing w:before="240" w:lineRule="auto"/>
        <w:ind w:firstLine="540"/>
        <w:jc w:val="both"/>
      </w:pPr>
      <w:r>
        <w:rPr>
          <w:sz w:val="24"/>
        </w:rPr>
        <w:t xml:space="preserve">обеспечена защита населения и объектов экономики от негативного воздействия вод сооружениями инженерной защиты, повышена эксплуатационная надежность и безопасность гидротехнических сооружений;</w:t>
      </w:r>
    </w:p>
    <w:p>
      <w:pPr>
        <w:pStyle w:val="0"/>
        <w:spacing w:before="240" w:lineRule="auto"/>
        <w:ind w:firstLine="540"/>
        <w:jc w:val="both"/>
      </w:pPr>
      <w:r>
        <w:rPr>
          <w:sz w:val="24"/>
        </w:rPr>
        <w:t xml:space="preserve">обеспечена защита населения и объектов экономики от негативного воздействия вод путем оптимизации пропускной способности русел рек;</w:t>
      </w:r>
    </w:p>
    <w:p>
      <w:pPr>
        <w:pStyle w:val="0"/>
        <w:spacing w:before="240" w:lineRule="auto"/>
        <w:ind w:firstLine="540"/>
        <w:jc w:val="both"/>
      </w:pPr>
      <w:r>
        <w:rPr>
          <w:sz w:val="24"/>
        </w:rPr>
        <w:t xml:space="preserve">повышена эксплуатационная надежность и безопасность гидротехнических сооружений;</w:t>
      </w:r>
    </w:p>
    <w:p>
      <w:pPr>
        <w:pStyle w:val="0"/>
        <w:spacing w:before="240" w:lineRule="auto"/>
        <w:ind w:firstLine="540"/>
        <w:jc w:val="both"/>
      </w:pPr>
      <w:r>
        <w:rPr>
          <w:sz w:val="24"/>
        </w:rPr>
        <w:t xml:space="preserve">осуществлены мероприятия по охране, сохранению и восстановлению водных объектов до состояния, обеспечивающего экологически благоприятные условия жизни населения;</w:t>
      </w:r>
    </w:p>
    <w:p>
      <w:pPr>
        <w:pStyle w:val="0"/>
        <w:spacing w:before="240" w:lineRule="auto"/>
        <w:ind w:firstLine="540"/>
        <w:jc w:val="both"/>
      </w:pPr>
      <w:r>
        <w:rPr>
          <w:sz w:val="24"/>
        </w:rPr>
        <w:t xml:space="preserve">2) достижение следующих показателей:</w:t>
      </w:r>
    </w:p>
    <w:p>
      <w:pPr>
        <w:pStyle w:val="0"/>
        <w:spacing w:before="240" w:lineRule="auto"/>
        <w:ind w:firstLine="540"/>
        <w:jc w:val="both"/>
      </w:pPr>
      <w:r>
        <w:rPr>
          <w:sz w:val="24"/>
        </w:rPr>
        <w:t xml:space="preserve">"Численность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- 168,3 тыс. человек;</w:t>
      </w:r>
    </w:p>
    <w:p>
      <w:pPr>
        <w:pStyle w:val="0"/>
        <w:spacing w:before="240" w:lineRule="auto"/>
        <w:ind w:firstLine="540"/>
        <w:jc w:val="both"/>
      </w:pPr>
      <w:r>
        <w:rPr>
          <w:sz w:val="24"/>
        </w:rPr>
        <w:t xml:space="preserve">"Численность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нарастающим итогом" - 86,31 тыс. человек;</w:t>
      </w:r>
    </w:p>
    <w:p>
      <w:pPr>
        <w:pStyle w:val="0"/>
        <w:spacing w:before="240" w:lineRule="auto"/>
        <w:ind w:firstLine="540"/>
        <w:jc w:val="both"/>
      </w:pPr>
      <w:r>
        <w:rPr>
          <w:sz w:val="24"/>
        </w:rPr>
        <w:t xml:space="preserve">"Доля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 - 100%.</w:t>
      </w:r>
    </w:p>
    <w:p>
      <w:pPr>
        <w:pStyle w:val="0"/>
        <w:spacing w:before="240" w:lineRule="auto"/>
        <w:ind w:firstLine="540"/>
        <w:jc w:val="both"/>
      </w:pPr>
      <w:r>
        <w:rPr>
          <w:sz w:val="24"/>
        </w:rPr>
        <w:t xml:space="preserve">Необходимость достижения цели государственной программы "К концу 2035 года сформировано устойчивое сбалансированное развитие минерально-сырьевой базы полезных ископаемых и подземных вод по увеличению запасов месторождений полезных ископаемых на 170%" предусматривает:</w:t>
      </w:r>
    </w:p>
    <w:p>
      <w:pPr>
        <w:pStyle w:val="0"/>
        <w:spacing w:before="240" w:lineRule="auto"/>
        <w:ind w:firstLine="540"/>
        <w:jc w:val="both"/>
      </w:pPr>
      <w:r>
        <w:rPr>
          <w:sz w:val="24"/>
        </w:rPr>
        <w:t xml:space="preserve">1) решение следующих основных задач:</w:t>
      </w:r>
    </w:p>
    <w:p>
      <w:pPr>
        <w:pStyle w:val="0"/>
        <w:spacing w:before="240" w:lineRule="auto"/>
        <w:ind w:firstLine="540"/>
        <w:jc w:val="both"/>
      </w:pPr>
      <w:r>
        <w:rPr>
          <w:sz w:val="24"/>
        </w:rPr>
        <w:t xml:space="preserve">обеспечено воспроизводство минерально-сырьевой базы наиболее ликвидных полезных ископаемых Забайкальского края; создан электронный банк геологической информации Забайкальского края; удовлетворены потребности строительной отрасли в районах интенсивного строительства; выявлены источники подземных вод для обеспечения населения Забайкальского края качественной питьевой водой;</w:t>
      </w:r>
    </w:p>
    <w:p>
      <w:pPr>
        <w:pStyle w:val="0"/>
        <w:spacing w:before="240" w:lineRule="auto"/>
        <w:ind w:firstLine="540"/>
        <w:jc w:val="both"/>
      </w:pPr>
      <w:r>
        <w:rPr>
          <w:sz w:val="24"/>
        </w:rPr>
        <w:t xml:space="preserve">созданы организационные условия для реализации государственной программы;</w:t>
      </w:r>
    </w:p>
    <w:p>
      <w:pPr>
        <w:pStyle w:val="0"/>
        <w:spacing w:before="240" w:lineRule="auto"/>
        <w:ind w:firstLine="540"/>
        <w:jc w:val="both"/>
      </w:pPr>
      <w:r>
        <w:rPr>
          <w:sz w:val="24"/>
        </w:rPr>
        <w:t xml:space="preserve">2) достижение показателя "Прирост ценности недр" - 51 000 тыс. куб. м.</w:t>
      </w:r>
    </w:p>
    <w:p>
      <w:pPr>
        <w:pStyle w:val="0"/>
        <w:spacing w:before="240" w:lineRule="auto"/>
        <w:ind w:firstLine="540"/>
        <w:jc w:val="both"/>
      </w:pPr>
      <w:r>
        <w:rPr>
          <w:sz w:val="24"/>
        </w:rPr>
        <w:t xml:space="preserve">Необходимость достижения цели государственной программы "К концу 2035 года обеспечены комфортные условия для жизни (216 249 человек), вблизи водных объектов, в связи с их экологическим оздоровлением" предусматривает:</w:t>
      </w:r>
    </w:p>
    <w:p>
      <w:pPr>
        <w:pStyle w:val="0"/>
        <w:spacing w:before="240" w:lineRule="auto"/>
        <w:ind w:firstLine="540"/>
        <w:jc w:val="both"/>
      </w:pPr>
      <w:r>
        <w:rPr>
          <w:sz w:val="24"/>
        </w:rPr>
        <w:t xml:space="preserve">1) решение основной задачи: в связи с экологическим оздоровлением водных объектов к концу 2030 года будут обеспечены комфортные условия для жизни вблизи водных объектов для 23,2 млн. человек;</w:t>
      </w:r>
    </w:p>
    <w:p>
      <w:pPr>
        <w:pStyle w:val="0"/>
        <w:spacing w:before="240" w:lineRule="auto"/>
        <w:ind w:firstLine="540"/>
        <w:jc w:val="both"/>
      </w:pPr>
      <w:r>
        <w:rPr>
          <w:sz w:val="24"/>
        </w:rPr>
        <w:t xml:space="preserve">2) достижение показателя "Численность населения, для которого созданы комфортные условия проживания вблизи водных объектов" - 0,216 млн. человек.</w:t>
      </w:r>
    </w:p>
    <w:p>
      <w:pPr>
        <w:pStyle w:val="0"/>
        <w:spacing w:before="240" w:lineRule="auto"/>
        <w:ind w:firstLine="540"/>
        <w:jc w:val="both"/>
      </w:pPr>
      <w:r>
        <w:rPr>
          <w:sz w:val="24"/>
        </w:rPr>
        <w:t xml:space="preserve">Способы эффективного решения указанных задач реализуются в рамках мероприятий, закрепленных структурными элементами государственной программы:</w:t>
      </w:r>
    </w:p>
    <w:p>
      <w:pPr>
        <w:pStyle w:val="0"/>
        <w:spacing w:before="240" w:lineRule="auto"/>
        <w:ind w:firstLine="540"/>
        <w:jc w:val="both"/>
      </w:pPr>
      <w:r>
        <w:rPr>
          <w:sz w:val="24"/>
        </w:rPr>
        <w:t xml:space="preserve">Региональный проект "Вода России (Забайкальский край)";</w:t>
      </w:r>
    </w:p>
    <w:p>
      <w:pPr>
        <w:pStyle w:val="0"/>
        <w:spacing w:before="240" w:lineRule="auto"/>
        <w:ind w:firstLine="540"/>
        <w:jc w:val="both"/>
      </w:pPr>
      <w:r>
        <w:rPr>
          <w:sz w:val="24"/>
        </w:rPr>
        <w:t xml:space="preserve">Иной региональный проект "Защита населения и объектов экономики от негативного воздействия вод сооружениями инженерной защиты";</w:t>
      </w:r>
    </w:p>
    <w:p>
      <w:pPr>
        <w:pStyle w:val="0"/>
        <w:spacing w:before="240" w:lineRule="auto"/>
        <w:ind w:firstLine="540"/>
        <w:jc w:val="both"/>
      </w:pPr>
      <w:r>
        <w:rPr>
          <w:sz w:val="24"/>
        </w:rPr>
        <w:t xml:space="preserve">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p>
      <w:pPr>
        <w:pStyle w:val="0"/>
        <w:spacing w:before="240" w:lineRule="auto"/>
        <w:ind w:firstLine="540"/>
        <w:jc w:val="both"/>
      </w:pPr>
      <w:r>
        <w:rPr>
          <w:sz w:val="24"/>
        </w:rPr>
        <w:t xml:space="preserve">Комплекс процессных мероприятий "Повышение эксплуатационной надежности и безопасности гидротехнических сооружений";</w:t>
      </w:r>
    </w:p>
    <w:p>
      <w:pPr>
        <w:pStyle w:val="0"/>
        <w:spacing w:before="240" w:lineRule="auto"/>
        <w:ind w:firstLine="540"/>
        <w:jc w:val="both"/>
      </w:pPr>
      <w:r>
        <w:rPr>
          <w:sz w:val="24"/>
        </w:rPr>
        <w:t xml:space="preserve">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p>
      <w:pPr>
        <w:pStyle w:val="0"/>
        <w:spacing w:before="240" w:lineRule="auto"/>
        <w:ind w:firstLine="540"/>
        <w:jc w:val="both"/>
      </w:pPr>
      <w:r>
        <w:rPr>
          <w:sz w:val="24"/>
        </w:rPr>
        <w:t xml:space="preserve">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p>
      <w:pPr>
        <w:pStyle w:val="0"/>
        <w:spacing w:before="240" w:lineRule="auto"/>
        <w:ind w:firstLine="540"/>
        <w:jc w:val="both"/>
      </w:pPr>
      <w:r>
        <w:rPr>
          <w:sz w:val="24"/>
        </w:rPr>
        <w:t xml:space="preserve">Комплекс процессных мероприятий "Воспроизводство минерально-сырьевой базы общераспространенных полезных ископаемых и подземных вод, геологическое изучение недр";</w:t>
      </w:r>
    </w:p>
    <w:p>
      <w:pPr>
        <w:pStyle w:val="0"/>
        <w:spacing w:before="240" w:lineRule="auto"/>
        <w:ind w:firstLine="540"/>
        <w:jc w:val="both"/>
      </w:pPr>
      <w:r>
        <w:rPr>
          <w:sz w:val="24"/>
        </w:rPr>
        <w:t xml:space="preserve">Комплекс процессных мероприятий "Обеспечение функций исполнительного органа Забайкальского края в сфере недропользования и охраны недр".</w:t>
      </w:r>
    </w:p>
    <w:p>
      <w:pPr>
        <w:pStyle w:val="0"/>
        <w:spacing w:before="240" w:lineRule="auto"/>
        <w:ind w:firstLine="540"/>
        <w:jc w:val="both"/>
      </w:pPr>
      <w:hyperlink w:history="0" w:anchor="P169" w:tooltip="ПЕРЕЧЕНЬ">
        <w:r>
          <w:rPr>
            <w:sz w:val="24"/>
            <w:color w:val="0000ff"/>
          </w:rPr>
          <w:t xml:space="preserve">Перечень</w:t>
        </w:r>
      </w:hyperlink>
      <w:r>
        <w:rPr>
          <w:sz w:val="24"/>
        </w:rPr>
        <w:t xml:space="preserve"> объектов капитального строительства, мероприятий по капитальному ремонту гидротехнических сооружений, реализуемых в рамках государственной программы, приведен в приложении N 1 к настоящей государственной программе.</w:t>
      </w:r>
    </w:p>
    <w:p>
      <w:pPr>
        <w:pStyle w:val="0"/>
        <w:spacing w:before="240" w:lineRule="auto"/>
        <w:ind w:firstLine="540"/>
        <w:jc w:val="both"/>
      </w:pPr>
      <w:r>
        <w:rPr>
          <w:sz w:val="24"/>
        </w:rPr>
        <w:t xml:space="preserve">Реализация мероприятий государственной программы в муниципальных образованиях осуществляется за счет средств краевого бюджета, предоставляемых в виде субсидий местным бюджетам на софинансирование расходных обязательств муниципальных образований по решению вопросов местного значения, возникающих при реализации мероприятий государственной программы.</w:t>
      </w:r>
    </w:p>
    <w:p>
      <w:pPr>
        <w:pStyle w:val="0"/>
        <w:spacing w:before="240" w:lineRule="auto"/>
        <w:ind w:firstLine="540"/>
        <w:jc w:val="both"/>
      </w:pPr>
      <w:hyperlink w:history="0" w:anchor="P2191" w:tooltip="ПОРЯДОК">
        <w:r>
          <w:rPr>
            <w:sz w:val="24"/>
            <w:color w:val="0000ff"/>
          </w:rPr>
          <w:t xml:space="preserve">Порядок</w:t>
        </w:r>
      </w:hyperlink>
      <w:r>
        <w:rPr>
          <w:sz w:val="24"/>
        </w:rPr>
        <w:t xml:space="preserve"> предоставления и распределения субсидий из бюджета Забайкальского края бюджетам муниципальных районов, муниципальных и городских округов Забайкальского края на финансовое обеспечение мероприятий государственной программы приведен в приложении N 2 к настоящей государственной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Забайкальского края "Воспроизводство и</w:t>
      </w:r>
    </w:p>
    <w:p>
      <w:pPr>
        <w:pStyle w:val="0"/>
        <w:jc w:val="right"/>
      </w:pPr>
      <w:r>
        <w:rPr>
          <w:sz w:val="24"/>
        </w:rPr>
        <w:t xml:space="preserve">использование природных ресурсов"</w:t>
      </w:r>
    </w:p>
    <w:p>
      <w:pPr>
        <w:pStyle w:val="0"/>
        <w:jc w:val="both"/>
      </w:pPr>
      <w:r>
        <w:rPr>
          <w:sz w:val="24"/>
        </w:rPr>
      </w:r>
    </w:p>
    <w:bookmarkStart w:id="169" w:name="P169"/>
    <w:bookmarkEnd w:id="169"/>
    <w:p>
      <w:pPr>
        <w:pStyle w:val="2"/>
        <w:jc w:val="center"/>
      </w:pPr>
      <w:r>
        <w:rPr>
          <w:sz w:val="24"/>
        </w:rPr>
        <w:t xml:space="preserve">ПЕРЕЧЕНЬ</w:t>
      </w:r>
    </w:p>
    <w:p>
      <w:pPr>
        <w:pStyle w:val="2"/>
        <w:jc w:val="center"/>
      </w:pPr>
      <w:r>
        <w:rPr>
          <w:sz w:val="24"/>
        </w:rPr>
        <w:t xml:space="preserve">ОБЪЕКТОВ КАПИТАЛЬНОГО СТРОИТЕЛЬСТВА, МЕРОПРИЯТИЙ</w:t>
      </w:r>
    </w:p>
    <w:p>
      <w:pPr>
        <w:pStyle w:val="2"/>
        <w:jc w:val="center"/>
      </w:pPr>
      <w:r>
        <w:rPr>
          <w:sz w:val="24"/>
        </w:rPr>
        <w:t xml:space="preserve">ПО КАПИТАЛЬНОМУ РЕМОНТУ ГИДРОТЕХНИЧЕСКИХ СООРУЖЕНИЙ,</w:t>
      </w:r>
    </w:p>
    <w:p>
      <w:pPr>
        <w:pStyle w:val="2"/>
        <w:jc w:val="center"/>
      </w:pPr>
      <w:r>
        <w:rPr>
          <w:sz w:val="24"/>
        </w:rPr>
        <w:t xml:space="preserve">РЕАЛИЗУЕМЫХ В РАМКАХ ГОСУДАРСТВЕННОЙ ПРОГРАММЫ</w:t>
      </w:r>
    </w:p>
    <w:p>
      <w:pPr>
        <w:pStyle w:val="2"/>
        <w:jc w:val="center"/>
      </w:pPr>
      <w:r>
        <w:rPr>
          <w:sz w:val="24"/>
        </w:rPr>
        <w:t xml:space="preserve">ЗАБАЙКАЛЬСКОГО КРАЯ "ВОСПРОИЗВОДСТВО И ИСПОЛЬЗОВАНИЕ</w:t>
      </w:r>
    </w:p>
    <w:p>
      <w:pPr>
        <w:pStyle w:val="2"/>
        <w:jc w:val="center"/>
      </w:pPr>
      <w:r>
        <w:rPr>
          <w:sz w:val="24"/>
        </w:rPr>
        <w:t xml:space="preserve">ПРИРОДНЫХ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 w:tooltip="Постановление Правительства Забайкальского края от 28.01.2026 N 19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Постановления</w:t>
              </w:r>
            </w:hyperlink>
            <w:r>
              <w:rPr>
                <w:sz w:val="24"/>
                <w:color w:val="392c69"/>
              </w:rPr>
              <w:t xml:space="preserve"> Правительства Забайкальского края</w:t>
            </w:r>
          </w:p>
          <w:p>
            <w:pPr>
              <w:pStyle w:val="0"/>
              <w:jc w:val="center"/>
            </w:pPr>
            <w:r>
              <w:rPr>
                <w:sz w:val="24"/>
                <w:color w:val="392c69"/>
              </w:rPr>
              <w:t xml:space="preserve">от 28.01.2026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2776"/>
        <w:gridCol w:w="1852"/>
        <w:gridCol w:w="1304"/>
        <w:gridCol w:w="1191"/>
        <w:gridCol w:w="1144"/>
        <w:gridCol w:w="1134"/>
        <w:gridCol w:w="1191"/>
        <w:gridCol w:w="1191"/>
        <w:gridCol w:w="1191"/>
        <w:gridCol w:w="1247"/>
        <w:gridCol w:w="785"/>
        <w:gridCol w:w="785"/>
        <w:gridCol w:w="785"/>
        <w:gridCol w:w="785"/>
        <w:gridCol w:w="785"/>
        <w:gridCol w:w="785"/>
        <w:gridCol w:w="785"/>
        <w:gridCol w:w="1020"/>
        <w:gridCol w:w="1020"/>
        <w:gridCol w:w="737"/>
      </w:tblGrid>
      <w:tr>
        <w:tc>
          <w:tcPr>
            <w:tcW w:w="460" w:type="dxa"/>
            <w:vAlign w:val="center"/>
            <w:vMerge w:val="restart"/>
          </w:tcPr>
          <w:p>
            <w:pPr>
              <w:pStyle w:val="0"/>
              <w:jc w:val="center"/>
            </w:pPr>
            <w:r>
              <w:rPr>
                <w:sz w:val="24"/>
              </w:rPr>
              <w:t xml:space="preserve">N п/п</w:t>
            </w:r>
          </w:p>
        </w:tc>
        <w:tc>
          <w:tcPr>
            <w:tcW w:w="2776" w:type="dxa"/>
            <w:vAlign w:val="center"/>
            <w:vMerge w:val="restart"/>
          </w:tcPr>
          <w:p>
            <w:pPr>
              <w:pStyle w:val="0"/>
              <w:jc w:val="center"/>
            </w:pPr>
            <w:r>
              <w:rPr>
                <w:sz w:val="24"/>
              </w:rPr>
              <w:t xml:space="preserve">Наименование мероприятия</w:t>
            </w:r>
          </w:p>
        </w:tc>
        <w:tc>
          <w:tcPr>
            <w:tcW w:w="1852" w:type="dxa"/>
            <w:vAlign w:val="center"/>
            <w:vMerge w:val="restart"/>
          </w:tcPr>
          <w:p>
            <w:pPr>
              <w:pStyle w:val="0"/>
              <w:jc w:val="center"/>
            </w:pPr>
            <w:r>
              <w:rPr>
                <w:sz w:val="24"/>
              </w:rPr>
              <w:t xml:space="preserve">Источники финансирования</w:t>
            </w:r>
          </w:p>
        </w:tc>
        <w:tc>
          <w:tcPr>
            <w:tcW w:w="1304" w:type="dxa"/>
            <w:vAlign w:val="center"/>
            <w:vMerge w:val="restart"/>
          </w:tcPr>
          <w:p>
            <w:pPr>
              <w:pStyle w:val="0"/>
              <w:jc w:val="center"/>
            </w:pPr>
            <w:r>
              <w:rPr>
                <w:sz w:val="24"/>
              </w:rPr>
              <w:t xml:space="preserve">2022 - 2035 годы, всего</w:t>
            </w:r>
          </w:p>
        </w:tc>
        <w:tc>
          <w:tcPr>
            <w:gridSpan w:val="14"/>
            <w:tcW w:w="13784" w:type="dxa"/>
            <w:vAlign w:val="center"/>
          </w:tcPr>
          <w:p>
            <w:pPr>
              <w:pStyle w:val="0"/>
              <w:jc w:val="center"/>
            </w:pPr>
            <w:r>
              <w:rPr>
                <w:sz w:val="24"/>
              </w:rPr>
              <w:t xml:space="preserve">в том числе по годам</w:t>
            </w:r>
          </w:p>
        </w:tc>
        <w:tc>
          <w:tcPr>
            <w:tcW w:w="1020" w:type="dxa"/>
            <w:vAlign w:val="center"/>
            <w:vMerge w:val="restart"/>
          </w:tcPr>
          <w:p>
            <w:pPr>
              <w:pStyle w:val="0"/>
              <w:jc w:val="center"/>
            </w:pPr>
            <w:r>
              <w:rPr>
                <w:sz w:val="24"/>
              </w:rPr>
              <w:t xml:space="preserve">Срок реализ., годы</w:t>
            </w:r>
          </w:p>
        </w:tc>
        <w:tc>
          <w:tcPr>
            <w:tcW w:w="1020" w:type="dxa"/>
            <w:vAlign w:val="center"/>
            <w:vMerge w:val="restart"/>
          </w:tcPr>
          <w:p>
            <w:pPr>
              <w:pStyle w:val="0"/>
              <w:jc w:val="center"/>
            </w:pPr>
            <w:r>
              <w:rPr>
                <w:sz w:val="24"/>
              </w:rPr>
              <w:t xml:space="preserve">Мощн. объекта</w:t>
            </w:r>
          </w:p>
        </w:tc>
        <w:tc>
          <w:tcPr>
            <w:tcW w:w="737" w:type="dxa"/>
            <w:vAlign w:val="center"/>
            <w:vMerge w:val="restart"/>
          </w:tcPr>
          <w:p>
            <w:pPr>
              <w:pStyle w:val="0"/>
              <w:jc w:val="center"/>
            </w:pPr>
            <w:r>
              <w:rPr>
                <w:sz w:val="24"/>
              </w:rPr>
              <w:t xml:space="preserve">Ед. изм.</w:t>
            </w:r>
          </w:p>
        </w:tc>
      </w:tr>
      <w:tr>
        <w:tc>
          <w:tcPr>
            <w:vMerge w:val="continue"/>
          </w:tcPr>
          <w:p/>
        </w:tc>
        <w:tc>
          <w:tcPr>
            <w:vMerge w:val="continue"/>
          </w:tcPr>
          <w:p/>
        </w:tc>
        <w:tc>
          <w:tcPr>
            <w:vMerge w:val="continue"/>
          </w:tcPr>
          <w:p/>
        </w:tc>
        <w:tc>
          <w:tcPr>
            <w:vMerge w:val="continue"/>
          </w:tcPr>
          <w:p/>
        </w:tc>
        <w:tc>
          <w:tcPr>
            <w:tcW w:w="1191" w:type="dxa"/>
            <w:vAlign w:val="center"/>
          </w:tcPr>
          <w:p>
            <w:pPr>
              <w:pStyle w:val="0"/>
              <w:jc w:val="center"/>
            </w:pPr>
            <w:r>
              <w:rPr>
                <w:sz w:val="24"/>
              </w:rPr>
              <w:t xml:space="preserve">2022</w:t>
            </w:r>
          </w:p>
        </w:tc>
        <w:tc>
          <w:tcPr>
            <w:tcW w:w="1144" w:type="dxa"/>
            <w:vAlign w:val="center"/>
          </w:tcPr>
          <w:p>
            <w:pPr>
              <w:pStyle w:val="0"/>
              <w:jc w:val="center"/>
            </w:pPr>
            <w:r>
              <w:rPr>
                <w:sz w:val="24"/>
              </w:rPr>
              <w:t xml:space="preserve">2023</w:t>
            </w:r>
          </w:p>
        </w:tc>
        <w:tc>
          <w:tcPr>
            <w:tcW w:w="1134" w:type="dxa"/>
            <w:vAlign w:val="center"/>
          </w:tcPr>
          <w:p>
            <w:pPr>
              <w:pStyle w:val="0"/>
              <w:jc w:val="center"/>
            </w:pPr>
            <w:r>
              <w:rPr>
                <w:sz w:val="24"/>
              </w:rPr>
              <w:t xml:space="preserve">2024</w:t>
            </w:r>
          </w:p>
        </w:tc>
        <w:tc>
          <w:tcPr>
            <w:tcW w:w="1191" w:type="dxa"/>
            <w:vAlign w:val="center"/>
          </w:tcPr>
          <w:p>
            <w:pPr>
              <w:pStyle w:val="0"/>
              <w:jc w:val="center"/>
            </w:pPr>
            <w:r>
              <w:rPr>
                <w:sz w:val="24"/>
              </w:rPr>
              <w:t xml:space="preserve">2025</w:t>
            </w:r>
          </w:p>
        </w:tc>
        <w:tc>
          <w:tcPr>
            <w:tcW w:w="1191" w:type="dxa"/>
            <w:vAlign w:val="center"/>
          </w:tcPr>
          <w:p>
            <w:pPr>
              <w:pStyle w:val="0"/>
              <w:jc w:val="center"/>
            </w:pPr>
            <w:r>
              <w:rPr>
                <w:sz w:val="24"/>
              </w:rPr>
              <w:t xml:space="preserve">2026</w:t>
            </w:r>
          </w:p>
        </w:tc>
        <w:tc>
          <w:tcPr>
            <w:tcW w:w="1191" w:type="dxa"/>
            <w:vAlign w:val="center"/>
          </w:tcPr>
          <w:p>
            <w:pPr>
              <w:pStyle w:val="0"/>
              <w:jc w:val="center"/>
            </w:pPr>
            <w:r>
              <w:rPr>
                <w:sz w:val="24"/>
              </w:rPr>
              <w:t xml:space="preserve">2027</w:t>
            </w:r>
          </w:p>
        </w:tc>
        <w:tc>
          <w:tcPr>
            <w:tcW w:w="1247" w:type="dxa"/>
            <w:vAlign w:val="center"/>
          </w:tcPr>
          <w:p>
            <w:pPr>
              <w:pStyle w:val="0"/>
              <w:jc w:val="center"/>
            </w:pPr>
            <w:r>
              <w:rPr>
                <w:sz w:val="24"/>
              </w:rPr>
              <w:t xml:space="preserve">2028</w:t>
            </w:r>
          </w:p>
        </w:tc>
        <w:tc>
          <w:tcPr>
            <w:tcW w:w="785" w:type="dxa"/>
            <w:vAlign w:val="center"/>
          </w:tcPr>
          <w:p>
            <w:pPr>
              <w:pStyle w:val="0"/>
              <w:jc w:val="center"/>
            </w:pPr>
            <w:r>
              <w:rPr>
                <w:sz w:val="24"/>
              </w:rPr>
              <w:t xml:space="preserve">2029</w:t>
            </w:r>
          </w:p>
        </w:tc>
        <w:tc>
          <w:tcPr>
            <w:tcW w:w="785" w:type="dxa"/>
            <w:vAlign w:val="center"/>
          </w:tcPr>
          <w:p>
            <w:pPr>
              <w:pStyle w:val="0"/>
              <w:jc w:val="center"/>
            </w:pPr>
            <w:r>
              <w:rPr>
                <w:sz w:val="24"/>
              </w:rPr>
              <w:t xml:space="preserve">2030</w:t>
            </w:r>
          </w:p>
        </w:tc>
        <w:tc>
          <w:tcPr>
            <w:tcW w:w="785" w:type="dxa"/>
            <w:vAlign w:val="center"/>
          </w:tcPr>
          <w:p>
            <w:pPr>
              <w:pStyle w:val="0"/>
              <w:jc w:val="center"/>
            </w:pPr>
            <w:r>
              <w:rPr>
                <w:sz w:val="24"/>
              </w:rPr>
              <w:t xml:space="preserve">2031</w:t>
            </w:r>
          </w:p>
        </w:tc>
        <w:tc>
          <w:tcPr>
            <w:tcW w:w="785" w:type="dxa"/>
            <w:vAlign w:val="center"/>
          </w:tcPr>
          <w:p>
            <w:pPr>
              <w:pStyle w:val="0"/>
              <w:jc w:val="center"/>
            </w:pPr>
            <w:r>
              <w:rPr>
                <w:sz w:val="24"/>
              </w:rPr>
              <w:t xml:space="preserve">2032</w:t>
            </w:r>
          </w:p>
        </w:tc>
        <w:tc>
          <w:tcPr>
            <w:tcW w:w="785" w:type="dxa"/>
            <w:vAlign w:val="center"/>
          </w:tcPr>
          <w:p>
            <w:pPr>
              <w:pStyle w:val="0"/>
              <w:jc w:val="center"/>
            </w:pPr>
            <w:r>
              <w:rPr>
                <w:sz w:val="24"/>
              </w:rPr>
              <w:t xml:space="preserve">2033</w:t>
            </w:r>
          </w:p>
        </w:tc>
        <w:tc>
          <w:tcPr>
            <w:tcW w:w="785" w:type="dxa"/>
            <w:vAlign w:val="center"/>
          </w:tcPr>
          <w:p>
            <w:pPr>
              <w:pStyle w:val="0"/>
              <w:jc w:val="center"/>
            </w:pPr>
            <w:r>
              <w:rPr>
                <w:sz w:val="24"/>
              </w:rPr>
              <w:t xml:space="preserve">2034</w:t>
            </w:r>
          </w:p>
        </w:tc>
        <w:tc>
          <w:tcPr>
            <w:tcW w:w="785" w:type="dxa"/>
            <w:vAlign w:val="center"/>
          </w:tcPr>
          <w:p>
            <w:pPr>
              <w:pStyle w:val="0"/>
              <w:jc w:val="center"/>
            </w:pPr>
            <w:r>
              <w:rPr>
                <w:sz w:val="24"/>
              </w:rPr>
              <w:t xml:space="preserve">2035</w:t>
            </w:r>
          </w:p>
        </w:tc>
        <w:tc>
          <w:tcPr>
            <w:vMerge w:val="continue"/>
          </w:tcPr>
          <w:p/>
        </w:tc>
        <w:tc>
          <w:tcPr>
            <w:vMerge w:val="continue"/>
          </w:tcPr>
          <w:p/>
        </w:tc>
        <w:tc>
          <w:tcPr>
            <w:vMerge w:val="continue"/>
          </w:tcPr>
          <w:p/>
        </w:tc>
      </w:tr>
      <w:tr>
        <w:tc>
          <w:tcPr>
            <w:tcW w:w="460" w:type="dxa"/>
            <w:vAlign w:val="center"/>
          </w:tcPr>
          <w:p>
            <w:pPr>
              <w:pStyle w:val="0"/>
              <w:jc w:val="center"/>
            </w:pPr>
            <w:r>
              <w:rPr>
                <w:sz w:val="24"/>
              </w:rPr>
              <w:t xml:space="preserve">1</w:t>
            </w:r>
          </w:p>
        </w:tc>
        <w:tc>
          <w:tcPr>
            <w:tcW w:w="2776" w:type="dxa"/>
            <w:vAlign w:val="center"/>
          </w:tcPr>
          <w:p>
            <w:pPr>
              <w:pStyle w:val="0"/>
              <w:jc w:val="center"/>
            </w:pPr>
            <w:r>
              <w:rPr>
                <w:sz w:val="24"/>
              </w:rPr>
              <w:t xml:space="preserve">2</w:t>
            </w:r>
          </w:p>
        </w:tc>
        <w:tc>
          <w:tcPr>
            <w:tcW w:w="1852" w:type="dxa"/>
            <w:vAlign w:val="center"/>
          </w:tcPr>
          <w:p>
            <w:pPr>
              <w:pStyle w:val="0"/>
              <w:jc w:val="center"/>
            </w:pPr>
            <w:r>
              <w:rPr>
                <w:sz w:val="24"/>
              </w:rPr>
              <w:t xml:space="preserve">3</w:t>
            </w:r>
          </w:p>
        </w:tc>
        <w:tc>
          <w:tcPr>
            <w:tcW w:w="1304" w:type="dxa"/>
            <w:vAlign w:val="center"/>
          </w:tcPr>
          <w:p>
            <w:pPr>
              <w:pStyle w:val="0"/>
              <w:jc w:val="center"/>
            </w:pPr>
            <w:r>
              <w:rPr>
                <w:sz w:val="24"/>
              </w:rPr>
              <w:t xml:space="preserve">4</w:t>
            </w:r>
          </w:p>
        </w:tc>
        <w:tc>
          <w:tcPr>
            <w:tcW w:w="1191" w:type="dxa"/>
            <w:vAlign w:val="center"/>
          </w:tcPr>
          <w:p>
            <w:pPr>
              <w:pStyle w:val="0"/>
              <w:jc w:val="center"/>
            </w:pPr>
            <w:r>
              <w:rPr>
                <w:sz w:val="24"/>
              </w:rPr>
              <w:t xml:space="preserve">5</w:t>
            </w:r>
          </w:p>
        </w:tc>
        <w:tc>
          <w:tcPr>
            <w:tcW w:w="1144" w:type="dxa"/>
            <w:vAlign w:val="center"/>
          </w:tcPr>
          <w:p>
            <w:pPr>
              <w:pStyle w:val="0"/>
              <w:jc w:val="center"/>
            </w:pPr>
            <w:r>
              <w:rPr>
                <w:sz w:val="24"/>
              </w:rPr>
              <w:t xml:space="preserve">6</w:t>
            </w:r>
          </w:p>
        </w:tc>
        <w:tc>
          <w:tcPr>
            <w:tcW w:w="1134" w:type="dxa"/>
            <w:vAlign w:val="center"/>
          </w:tcPr>
          <w:p>
            <w:pPr>
              <w:pStyle w:val="0"/>
              <w:jc w:val="center"/>
            </w:pPr>
            <w:r>
              <w:rPr>
                <w:sz w:val="24"/>
              </w:rPr>
              <w:t xml:space="preserve">7</w:t>
            </w:r>
          </w:p>
        </w:tc>
        <w:tc>
          <w:tcPr>
            <w:tcW w:w="1191" w:type="dxa"/>
            <w:vAlign w:val="center"/>
          </w:tcPr>
          <w:p>
            <w:pPr>
              <w:pStyle w:val="0"/>
              <w:jc w:val="center"/>
            </w:pPr>
            <w:r>
              <w:rPr>
                <w:sz w:val="24"/>
              </w:rPr>
              <w:t xml:space="preserve">8</w:t>
            </w:r>
          </w:p>
        </w:tc>
        <w:tc>
          <w:tcPr>
            <w:tcW w:w="1191" w:type="dxa"/>
            <w:vAlign w:val="center"/>
          </w:tcPr>
          <w:p>
            <w:pPr>
              <w:pStyle w:val="0"/>
              <w:jc w:val="center"/>
            </w:pPr>
            <w:r>
              <w:rPr>
                <w:sz w:val="24"/>
              </w:rPr>
              <w:t xml:space="preserve">9</w:t>
            </w:r>
          </w:p>
        </w:tc>
        <w:tc>
          <w:tcPr>
            <w:tcW w:w="1191" w:type="dxa"/>
            <w:vAlign w:val="center"/>
          </w:tcPr>
          <w:p>
            <w:pPr>
              <w:pStyle w:val="0"/>
              <w:jc w:val="center"/>
            </w:pPr>
            <w:r>
              <w:rPr>
                <w:sz w:val="24"/>
              </w:rPr>
              <w:t xml:space="preserve">10</w:t>
            </w:r>
          </w:p>
        </w:tc>
        <w:tc>
          <w:tcPr>
            <w:tcW w:w="1247" w:type="dxa"/>
            <w:vAlign w:val="center"/>
          </w:tcPr>
          <w:p>
            <w:pPr>
              <w:pStyle w:val="0"/>
              <w:jc w:val="center"/>
            </w:pPr>
            <w:r>
              <w:rPr>
                <w:sz w:val="24"/>
              </w:rPr>
              <w:t xml:space="preserve">11</w:t>
            </w:r>
          </w:p>
        </w:tc>
        <w:tc>
          <w:tcPr>
            <w:tcW w:w="785" w:type="dxa"/>
            <w:vAlign w:val="center"/>
          </w:tcPr>
          <w:p>
            <w:pPr>
              <w:pStyle w:val="0"/>
              <w:jc w:val="center"/>
            </w:pPr>
            <w:r>
              <w:rPr>
                <w:sz w:val="24"/>
              </w:rPr>
              <w:t xml:space="preserve">12</w:t>
            </w:r>
          </w:p>
        </w:tc>
        <w:tc>
          <w:tcPr>
            <w:tcW w:w="785" w:type="dxa"/>
            <w:vAlign w:val="center"/>
          </w:tcPr>
          <w:p>
            <w:pPr>
              <w:pStyle w:val="0"/>
              <w:jc w:val="center"/>
            </w:pPr>
            <w:r>
              <w:rPr>
                <w:sz w:val="24"/>
              </w:rPr>
              <w:t xml:space="preserve">13</w:t>
            </w:r>
          </w:p>
        </w:tc>
        <w:tc>
          <w:tcPr>
            <w:tcW w:w="785" w:type="dxa"/>
            <w:vAlign w:val="center"/>
          </w:tcPr>
          <w:p>
            <w:pPr>
              <w:pStyle w:val="0"/>
              <w:jc w:val="center"/>
            </w:pPr>
            <w:r>
              <w:rPr>
                <w:sz w:val="24"/>
              </w:rPr>
              <w:t xml:space="preserve">14</w:t>
            </w:r>
          </w:p>
        </w:tc>
        <w:tc>
          <w:tcPr>
            <w:tcW w:w="785" w:type="dxa"/>
            <w:vAlign w:val="center"/>
          </w:tcPr>
          <w:p>
            <w:pPr>
              <w:pStyle w:val="0"/>
              <w:jc w:val="center"/>
            </w:pPr>
            <w:r>
              <w:rPr>
                <w:sz w:val="24"/>
              </w:rPr>
              <w:t xml:space="preserve">15</w:t>
            </w:r>
          </w:p>
        </w:tc>
        <w:tc>
          <w:tcPr>
            <w:tcW w:w="785" w:type="dxa"/>
            <w:vAlign w:val="center"/>
          </w:tcPr>
          <w:p>
            <w:pPr>
              <w:pStyle w:val="0"/>
              <w:jc w:val="center"/>
            </w:pPr>
            <w:r>
              <w:rPr>
                <w:sz w:val="24"/>
              </w:rPr>
              <w:t xml:space="preserve">16</w:t>
            </w:r>
          </w:p>
        </w:tc>
        <w:tc>
          <w:tcPr>
            <w:tcW w:w="785" w:type="dxa"/>
            <w:vAlign w:val="center"/>
          </w:tcPr>
          <w:p>
            <w:pPr>
              <w:pStyle w:val="0"/>
              <w:jc w:val="center"/>
            </w:pPr>
            <w:r>
              <w:rPr>
                <w:sz w:val="24"/>
              </w:rPr>
              <w:t xml:space="preserve">17</w:t>
            </w:r>
          </w:p>
        </w:tc>
        <w:tc>
          <w:tcPr>
            <w:tcW w:w="785" w:type="dxa"/>
            <w:vAlign w:val="center"/>
          </w:tcPr>
          <w:p>
            <w:pPr>
              <w:pStyle w:val="0"/>
              <w:jc w:val="center"/>
            </w:pPr>
            <w:r>
              <w:rPr>
                <w:sz w:val="24"/>
              </w:rPr>
              <w:t xml:space="preserve">18</w:t>
            </w:r>
          </w:p>
        </w:tc>
        <w:tc>
          <w:tcPr>
            <w:tcW w:w="1020" w:type="dxa"/>
            <w:vAlign w:val="center"/>
          </w:tcPr>
          <w:p>
            <w:pPr>
              <w:pStyle w:val="0"/>
              <w:jc w:val="center"/>
            </w:pPr>
            <w:r>
              <w:rPr>
                <w:sz w:val="24"/>
              </w:rPr>
              <w:t xml:space="preserve">19</w:t>
            </w:r>
          </w:p>
        </w:tc>
        <w:tc>
          <w:tcPr>
            <w:tcW w:w="1020" w:type="dxa"/>
            <w:vAlign w:val="center"/>
          </w:tcPr>
          <w:p>
            <w:pPr>
              <w:pStyle w:val="0"/>
              <w:jc w:val="center"/>
            </w:pPr>
            <w:r>
              <w:rPr>
                <w:sz w:val="24"/>
              </w:rPr>
              <w:t xml:space="preserve">20</w:t>
            </w:r>
          </w:p>
        </w:tc>
        <w:tc>
          <w:tcPr>
            <w:tcW w:w="737" w:type="dxa"/>
            <w:vAlign w:val="center"/>
          </w:tcPr>
          <w:p>
            <w:pPr>
              <w:pStyle w:val="0"/>
              <w:jc w:val="center"/>
            </w:pPr>
            <w:r>
              <w:rPr>
                <w:sz w:val="24"/>
              </w:rPr>
              <w:t xml:space="preserve">21</w:t>
            </w:r>
          </w:p>
        </w:tc>
      </w:tr>
      <w:tr>
        <w:tc>
          <w:tcPr>
            <w:tcW w:w="460" w:type="dxa"/>
            <w:vAlign w:val="center"/>
          </w:tcPr>
          <w:p>
            <w:pPr>
              <w:pStyle w:val="0"/>
            </w:pPr>
            <w:r>
              <w:rPr>
                <w:sz w:val="24"/>
              </w:rPr>
            </w:r>
          </w:p>
        </w:tc>
        <w:tc>
          <w:tcPr>
            <w:gridSpan w:val="20"/>
            <w:tcW w:w="22493" w:type="dxa"/>
            <w:vAlign w:val="center"/>
          </w:tcPr>
          <w:p>
            <w:pPr>
              <w:pStyle w:val="0"/>
              <w:outlineLvl w:val="2"/>
              <w:jc w:val="center"/>
            </w:pPr>
            <w:r>
              <w:rPr>
                <w:sz w:val="24"/>
              </w:rPr>
              <w:t xml:space="preserve">1. Строительство и реконструкция сооружений инженерной защиты (бюджетные инвестиции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r>
      <w:tr>
        <w:tc>
          <w:tcPr>
            <w:tcW w:w="460" w:type="dxa"/>
            <w:vAlign w:val="center"/>
            <w:vMerge w:val="restart"/>
          </w:tcPr>
          <w:p>
            <w:pPr>
              <w:pStyle w:val="0"/>
              <w:jc w:val="center"/>
            </w:pPr>
            <w:r>
              <w:rPr>
                <w:sz w:val="24"/>
              </w:rPr>
              <w:t xml:space="preserve">1</w:t>
            </w:r>
          </w:p>
        </w:tc>
        <w:tc>
          <w:tcPr>
            <w:tcW w:w="2776" w:type="dxa"/>
            <w:vAlign w:val="center"/>
            <w:vMerge w:val="restart"/>
          </w:tcPr>
          <w:p>
            <w:pPr>
              <w:pStyle w:val="0"/>
              <w:jc w:val="center"/>
            </w:pPr>
            <w:r>
              <w:rPr>
                <w:sz w:val="24"/>
              </w:rPr>
              <w:t xml:space="preserve">Строительство инженерных сооружений для защиты с. Малета Петровск-Забайкальского района от затопления паводковыми водами реки Хилок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180855,01</w:t>
            </w:r>
          </w:p>
        </w:tc>
        <w:tc>
          <w:tcPr>
            <w:tcW w:w="1191" w:type="dxa"/>
            <w:vAlign w:val="center"/>
          </w:tcPr>
          <w:p>
            <w:pPr>
              <w:pStyle w:val="0"/>
              <w:jc w:val="center"/>
            </w:pPr>
            <w:r>
              <w:rPr>
                <w:sz w:val="24"/>
              </w:rPr>
              <w:t xml:space="preserve">119586,82</w:t>
            </w:r>
          </w:p>
        </w:tc>
        <w:tc>
          <w:tcPr>
            <w:tcW w:w="1144" w:type="dxa"/>
            <w:vAlign w:val="center"/>
          </w:tcPr>
          <w:p>
            <w:pPr>
              <w:pStyle w:val="0"/>
              <w:jc w:val="center"/>
            </w:pPr>
            <w:r>
              <w:rPr>
                <w:sz w:val="24"/>
              </w:rPr>
              <w:t xml:space="preserve">61265,09</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2022 - 2023</w:t>
            </w:r>
          </w:p>
        </w:tc>
        <w:tc>
          <w:tcPr>
            <w:tcW w:w="1020" w:type="dxa"/>
            <w:vAlign w:val="center"/>
            <w:vMerge w:val="restart"/>
          </w:tcPr>
          <w:p>
            <w:pPr>
              <w:pStyle w:val="0"/>
              <w:jc w:val="center"/>
            </w:pPr>
            <w:r>
              <w:rPr>
                <w:sz w:val="24"/>
              </w:rPr>
              <w:t xml:space="preserve">2,347</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164577,90</w:t>
            </w:r>
          </w:p>
        </w:tc>
        <w:tc>
          <w:tcPr>
            <w:tcW w:w="1191" w:type="dxa"/>
            <w:vAlign w:val="center"/>
          </w:tcPr>
          <w:p>
            <w:pPr>
              <w:pStyle w:val="0"/>
              <w:jc w:val="center"/>
            </w:pPr>
            <w:r>
              <w:rPr>
                <w:sz w:val="24"/>
              </w:rPr>
              <w:t xml:space="preserve">108824,0</w:t>
            </w:r>
          </w:p>
        </w:tc>
        <w:tc>
          <w:tcPr>
            <w:tcW w:w="1144" w:type="dxa"/>
            <w:vAlign w:val="center"/>
          </w:tcPr>
          <w:p>
            <w:pPr>
              <w:pStyle w:val="0"/>
              <w:jc w:val="center"/>
            </w:pPr>
            <w:r>
              <w:rPr>
                <w:sz w:val="24"/>
              </w:rPr>
              <w:t xml:space="preserve">55751,08</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16277,11</w:t>
            </w:r>
          </w:p>
        </w:tc>
        <w:tc>
          <w:tcPr>
            <w:tcW w:w="1191" w:type="dxa"/>
            <w:vAlign w:val="center"/>
          </w:tcPr>
          <w:p>
            <w:pPr>
              <w:pStyle w:val="0"/>
              <w:jc w:val="center"/>
            </w:pPr>
            <w:r>
              <w:rPr>
                <w:sz w:val="24"/>
              </w:rPr>
              <w:t xml:space="preserve">10762,82</w:t>
            </w:r>
          </w:p>
        </w:tc>
        <w:tc>
          <w:tcPr>
            <w:tcW w:w="1144" w:type="dxa"/>
            <w:vAlign w:val="center"/>
          </w:tcPr>
          <w:p>
            <w:pPr>
              <w:pStyle w:val="0"/>
              <w:jc w:val="center"/>
            </w:pPr>
            <w:r>
              <w:rPr>
                <w:sz w:val="24"/>
              </w:rPr>
              <w:t xml:space="preserve">5514,01</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2</w:t>
            </w:r>
          </w:p>
        </w:tc>
        <w:tc>
          <w:tcPr>
            <w:tcW w:w="2776" w:type="dxa"/>
            <w:vAlign w:val="center"/>
            <w:vMerge w:val="restart"/>
          </w:tcPr>
          <w:p>
            <w:pPr>
              <w:pStyle w:val="0"/>
              <w:jc w:val="center"/>
            </w:pPr>
            <w:r>
              <w:rPr>
                <w:sz w:val="24"/>
              </w:rPr>
              <w:t xml:space="preserve">Строительство гидротехнических сооружений в г. Чите на р. Чита от моста ул. Ярославского до устья</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872164,24</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486384,40</w:t>
            </w:r>
          </w:p>
        </w:tc>
        <w:tc>
          <w:tcPr>
            <w:tcW w:w="1134" w:type="dxa"/>
            <w:vAlign w:val="center"/>
          </w:tcPr>
          <w:p>
            <w:pPr>
              <w:pStyle w:val="0"/>
              <w:jc w:val="center"/>
            </w:pPr>
            <w:r>
              <w:rPr>
                <w:sz w:val="24"/>
              </w:rPr>
              <w:t xml:space="preserve">100112,8</w:t>
            </w:r>
          </w:p>
        </w:tc>
        <w:tc>
          <w:tcPr>
            <w:tcW w:w="1191" w:type="dxa"/>
            <w:vAlign w:val="center"/>
          </w:tcPr>
          <w:p>
            <w:pPr>
              <w:pStyle w:val="0"/>
              <w:jc w:val="center"/>
            </w:pPr>
            <w:r>
              <w:rPr>
                <w:sz w:val="24"/>
              </w:rPr>
              <w:t xml:space="preserve">106477,85</w:t>
            </w:r>
          </w:p>
        </w:tc>
        <w:tc>
          <w:tcPr>
            <w:tcW w:w="1191" w:type="dxa"/>
            <w:vAlign w:val="center"/>
          </w:tcPr>
          <w:p>
            <w:pPr>
              <w:pStyle w:val="0"/>
              <w:jc w:val="center"/>
            </w:pPr>
            <w:r>
              <w:rPr>
                <w:sz w:val="24"/>
              </w:rPr>
              <w:t xml:space="preserve">142061,45</w:t>
            </w:r>
          </w:p>
        </w:tc>
        <w:tc>
          <w:tcPr>
            <w:tcW w:w="1191" w:type="dxa"/>
            <w:vAlign w:val="center"/>
          </w:tcPr>
          <w:p>
            <w:pPr>
              <w:pStyle w:val="0"/>
              <w:jc w:val="center"/>
            </w:pPr>
            <w:r>
              <w:rPr>
                <w:sz w:val="24"/>
              </w:rPr>
              <w:t xml:space="preserve">37127,74</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2023 - 2028</w:t>
            </w:r>
          </w:p>
        </w:tc>
        <w:tc>
          <w:tcPr>
            <w:tcW w:w="1020" w:type="dxa"/>
            <w:vAlign w:val="center"/>
            <w:vMerge w:val="restart"/>
          </w:tcPr>
          <w:p>
            <w:pPr>
              <w:pStyle w:val="0"/>
              <w:jc w:val="center"/>
            </w:pPr>
            <w:r>
              <w:rPr>
                <w:sz w:val="24"/>
              </w:rPr>
              <w:t xml:space="preserve">2,42</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732291,2</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431777,0</w:t>
            </w:r>
          </w:p>
        </w:tc>
        <w:tc>
          <w:tcPr>
            <w:tcW w:w="1134" w:type="dxa"/>
            <w:vAlign w:val="center"/>
          </w:tcPr>
          <w:p>
            <w:pPr>
              <w:pStyle w:val="0"/>
              <w:jc w:val="center"/>
            </w:pPr>
            <w:r>
              <w:rPr>
                <w:sz w:val="24"/>
              </w:rPr>
              <w:t xml:space="preserve">75846,7</w:t>
            </w:r>
          </w:p>
        </w:tc>
        <w:tc>
          <w:tcPr>
            <w:tcW w:w="1191" w:type="dxa"/>
            <w:vAlign w:val="center"/>
          </w:tcPr>
          <w:p>
            <w:pPr>
              <w:pStyle w:val="0"/>
              <w:jc w:val="center"/>
            </w:pPr>
            <w:r>
              <w:rPr>
                <w:sz w:val="24"/>
              </w:rPr>
              <w:t xml:space="preserve">95500,6</w:t>
            </w:r>
          </w:p>
        </w:tc>
        <w:tc>
          <w:tcPr>
            <w:tcW w:w="1191" w:type="dxa"/>
            <w:vAlign w:val="center"/>
          </w:tcPr>
          <w:p>
            <w:pPr>
              <w:pStyle w:val="0"/>
              <w:jc w:val="center"/>
            </w:pPr>
            <w:r>
              <w:rPr>
                <w:sz w:val="24"/>
              </w:rPr>
              <w:t xml:space="preserve">124166,90</w:t>
            </w:r>
          </w:p>
        </w:tc>
        <w:tc>
          <w:tcPr>
            <w:tcW w:w="1191" w:type="dxa"/>
            <w:vAlign w:val="center"/>
          </w:tcPr>
          <w:p>
            <w:pPr>
              <w:pStyle w:val="0"/>
              <w:jc w:val="center"/>
            </w:pPr>
            <w:r>
              <w:rPr>
                <w:sz w:val="24"/>
              </w:rPr>
              <w:t xml:space="preserve">5000,0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139873,04</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54607,40</w:t>
            </w:r>
          </w:p>
        </w:tc>
        <w:tc>
          <w:tcPr>
            <w:tcW w:w="1134" w:type="dxa"/>
            <w:vAlign w:val="center"/>
          </w:tcPr>
          <w:p>
            <w:pPr>
              <w:pStyle w:val="0"/>
              <w:jc w:val="center"/>
            </w:pPr>
            <w:r>
              <w:rPr>
                <w:sz w:val="24"/>
              </w:rPr>
              <w:t xml:space="preserve">24266,10</w:t>
            </w:r>
          </w:p>
        </w:tc>
        <w:tc>
          <w:tcPr>
            <w:tcW w:w="1191" w:type="dxa"/>
            <w:vAlign w:val="center"/>
          </w:tcPr>
          <w:p>
            <w:pPr>
              <w:pStyle w:val="0"/>
              <w:jc w:val="center"/>
            </w:pPr>
            <w:r>
              <w:rPr>
                <w:sz w:val="24"/>
              </w:rPr>
              <w:t xml:space="preserve">10977,25</w:t>
            </w:r>
          </w:p>
        </w:tc>
        <w:tc>
          <w:tcPr>
            <w:tcW w:w="1191" w:type="dxa"/>
            <w:vAlign w:val="center"/>
          </w:tcPr>
          <w:p>
            <w:pPr>
              <w:pStyle w:val="0"/>
              <w:jc w:val="center"/>
            </w:pPr>
            <w:r>
              <w:rPr>
                <w:sz w:val="24"/>
              </w:rPr>
              <w:t xml:space="preserve">17894,55</w:t>
            </w:r>
          </w:p>
        </w:tc>
        <w:tc>
          <w:tcPr>
            <w:tcW w:w="1191" w:type="dxa"/>
            <w:vAlign w:val="center"/>
          </w:tcPr>
          <w:p>
            <w:pPr>
              <w:pStyle w:val="0"/>
              <w:jc w:val="center"/>
            </w:pPr>
            <w:r>
              <w:rPr>
                <w:sz w:val="24"/>
              </w:rPr>
              <w:t xml:space="preserve">32127,74</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3</w:t>
            </w:r>
          </w:p>
        </w:tc>
        <w:tc>
          <w:tcPr>
            <w:tcW w:w="2776" w:type="dxa"/>
            <w:vAlign w:val="center"/>
            <w:vMerge w:val="restart"/>
          </w:tcPr>
          <w:p>
            <w:pPr>
              <w:pStyle w:val="0"/>
              <w:jc w:val="center"/>
            </w:pPr>
            <w:r>
              <w:rPr>
                <w:sz w:val="24"/>
              </w:rPr>
              <w:t xml:space="preserve">Реконструкция гидротехнического сооружения в г. Чите - правый берег от моста по ул. Генерала Белика</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714666,83</w:t>
            </w:r>
          </w:p>
        </w:tc>
        <w:tc>
          <w:tcPr>
            <w:tcW w:w="1191" w:type="dxa"/>
            <w:vAlign w:val="center"/>
          </w:tcPr>
          <w:p>
            <w:pPr>
              <w:pStyle w:val="0"/>
              <w:jc w:val="center"/>
            </w:pPr>
            <w:r>
              <w:rPr>
                <w:sz w:val="24"/>
              </w:rPr>
              <w:t xml:space="preserve">7484,31</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109890,11</w:t>
            </w:r>
          </w:p>
        </w:tc>
        <w:tc>
          <w:tcPr>
            <w:tcW w:w="1191" w:type="dxa"/>
            <w:vAlign w:val="center"/>
          </w:tcPr>
          <w:p>
            <w:pPr>
              <w:pStyle w:val="0"/>
              <w:jc w:val="center"/>
            </w:pPr>
            <w:r>
              <w:rPr>
                <w:sz w:val="24"/>
              </w:rPr>
              <w:t xml:space="preserve">398756,27</w:t>
            </w:r>
          </w:p>
        </w:tc>
        <w:tc>
          <w:tcPr>
            <w:tcW w:w="1191" w:type="dxa"/>
            <w:vAlign w:val="center"/>
          </w:tcPr>
          <w:p>
            <w:pPr>
              <w:pStyle w:val="0"/>
              <w:jc w:val="center"/>
            </w:pPr>
            <w:r>
              <w:rPr>
                <w:sz w:val="24"/>
              </w:rPr>
              <w:t xml:space="preserve">160131,86</w:t>
            </w:r>
          </w:p>
        </w:tc>
        <w:tc>
          <w:tcPr>
            <w:tcW w:w="1191" w:type="dxa"/>
            <w:vAlign w:val="center"/>
          </w:tcPr>
          <w:p>
            <w:pPr>
              <w:pStyle w:val="0"/>
              <w:jc w:val="center"/>
            </w:pPr>
            <w:r>
              <w:rPr>
                <w:sz w:val="24"/>
              </w:rPr>
              <w:t xml:space="preserve">38404,28</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2022 - 2028</w:t>
            </w:r>
          </w:p>
        </w:tc>
        <w:tc>
          <w:tcPr>
            <w:tcW w:w="1020" w:type="dxa"/>
            <w:vAlign w:val="center"/>
            <w:vMerge w:val="restart"/>
          </w:tcPr>
          <w:p>
            <w:pPr>
              <w:pStyle w:val="0"/>
              <w:jc w:val="center"/>
            </w:pPr>
            <w:r>
              <w:rPr>
                <w:sz w:val="24"/>
              </w:rPr>
              <w:t xml:space="preserve">3,9</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465098,10</w:t>
            </w:r>
          </w:p>
        </w:tc>
        <w:tc>
          <w:tcPr>
            <w:tcW w:w="1191" w:type="dxa"/>
            <w:vAlign w:val="center"/>
          </w:tcPr>
          <w:p>
            <w:pPr>
              <w:pStyle w:val="0"/>
              <w:jc w:val="center"/>
            </w:pPr>
            <w:r>
              <w:rPr>
                <w:sz w:val="24"/>
              </w:rPr>
              <w:t xml:space="preserve">6810,70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100000,0</w:t>
            </w:r>
          </w:p>
        </w:tc>
        <w:tc>
          <w:tcPr>
            <w:tcW w:w="1191" w:type="dxa"/>
            <w:vAlign w:val="center"/>
          </w:tcPr>
          <w:p>
            <w:pPr>
              <w:pStyle w:val="0"/>
              <w:jc w:val="center"/>
            </w:pPr>
            <w:r>
              <w:rPr>
                <w:sz w:val="24"/>
              </w:rPr>
              <w:t xml:space="preserve">238208,10</w:t>
            </w:r>
          </w:p>
        </w:tc>
        <w:tc>
          <w:tcPr>
            <w:tcW w:w="1191" w:type="dxa"/>
            <w:vAlign w:val="center"/>
          </w:tcPr>
          <w:p>
            <w:pPr>
              <w:pStyle w:val="0"/>
              <w:jc w:val="center"/>
            </w:pPr>
            <w:r>
              <w:rPr>
                <w:sz w:val="24"/>
              </w:rPr>
              <w:t xml:space="preserve">97079,30</w:t>
            </w:r>
          </w:p>
        </w:tc>
        <w:tc>
          <w:tcPr>
            <w:tcW w:w="1191" w:type="dxa"/>
            <w:vAlign w:val="center"/>
          </w:tcPr>
          <w:p>
            <w:pPr>
              <w:pStyle w:val="0"/>
              <w:jc w:val="center"/>
            </w:pPr>
            <w:r>
              <w:rPr>
                <w:sz w:val="24"/>
              </w:rPr>
              <w:t xml:space="preserve">23000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249568,73</w:t>
            </w:r>
          </w:p>
        </w:tc>
        <w:tc>
          <w:tcPr>
            <w:tcW w:w="1191" w:type="dxa"/>
            <w:vAlign w:val="center"/>
          </w:tcPr>
          <w:p>
            <w:pPr>
              <w:pStyle w:val="0"/>
              <w:jc w:val="center"/>
            </w:pPr>
            <w:r>
              <w:rPr>
                <w:sz w:val="24"/>
              </w:rPr>
              <w:t xml:space="preserve">673,61</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9890,11</w:t>
            </w:r>
          </w:p>
        </w:tc>
        <w:tc>
          <w:tcPr>
            <w:tcW w:w="1191" w:type="dxa"/>
            <w:vAlign w:val="center"/>
          </w:tcPr>
          <w:p>
            <w:pPr>
              <w:pStyle w:val="0"/>
              <w:jc w:val="center"/>
            </w:pPr>
            <w:r>
              <w:rPr>
                <w:sz w:val="24"/>
              </w:rPr>
              <w:t xml:space="preserve">160548,17</w:t>
            </w:r>
          </w:p>
        </w:tc>
        <w:tc>
          <w:tcPr>
            <w:tcW w:w="1191" w:type="dxa"/>
            <w:vAlign w:val="center"/>
          </w:tcPr>
          <w:p>
            <w:pPr>
              <w:pStyle w:val="0"/>
              <w:jc w:val="center"/>
            </w:pPr>
            <w:r>
              <w:rPr>
                <w:sz w:val="24"/>
              </w:rPr>
              <w:t xml:space="preserve">63052,56</w:t>
            </w:r>
          </w:p>
        </w:tc>
        <w:tc>
          <w:tcPr>
            <w:tcW w:w="1191" w:type="dxa"/>
            <w:vAlign w:val="center"/>
          </w:tcPr>
          <w:p>
            <w:pPr>
              <w:pStyle w:val="0"/>
              <w:jc w:val="center"/>
            </w:pPr>
            <w:r>
              <w:rPr>
                <w:sz w:val="24"/>
              </w:rPr>
              <w:t xml:space="preserve">15404,28</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4</w:t>
            </w:r>
          </w:p>
        </w:tc>
        <w:tc>
          <w:tcPr>
            <w:tcW w:w="2776" w:type="dxa"/>
            <w:vAlign w:val="center"/>
            <w:vMerge w:val="restart"/>
          </w:tcPr>
          <w:p>
            <w:pPr>
              <w:pStyle w:val="0"/>
              <w:jc w:val="center"/>
            </w:pPr>
            <w:r>
              <w:rPr>
                <w:sz w:val="24"/>
              </w:rPr>
              <w:t xml:space="preserve">Инженерная защита г. Читы от затопления паводковыми водами р. Ингода в Забайкальском крае, левый берег</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885010,83</w:t>
            </w:r>
          </w:p>
        </w:tc>
        <w:tc>
          <w:tcPr>
            <w:tcW w:w="1191" w:type="dxa"/>
            <w:vAlign w:val="center"/>
          </w:tcPr>
          <w:p>
            <w:pPr>
              <w:pStyle w:val="0"/>
              <w:jc w:val="center"/>
            </w:pPr>
            <w:r>
              <w:rPr>
                <w:sz w:val="24"/>
              </w:rPr>
              <w:t xml:space="preserve">17363,64</w:t>
            </w:r>
          </w:p>
        </w:tc>
        <w:tc>
          <w:tcPr>
            <w:tcW w:w="1144" w:type="dxa"/>
            <w:vAlign w:val="center"/>
          </w:tcPr>
          <w:p>
            <w:pPr>
              <w:pStyle w:val="0"/>
              <w:jc w:val="center"/>
            </w:pPr>
            <w:r>
              <w:rPr>
                <w:sz w:val="24"/>
              </w:rPr>
              <w:t xml:space="preserve">17737,36</w:t>
            </w:r>
          </w:p>
        </w:tc>
        <w:tc>
          <w:tcPr>
            <w:tcW w:w="1134" w:type="dxa"/>
            <w:vAlign w:val="center"/>
          </w:tcPr>
          <w:p>
            <w:pPr>
              <w:pStyle w:val="0"/>
              <w:jc w:val="center"/>
            </w:pPr>
            <w:r>
              <w:rPr>
                <w:sz w:val="24"/>
              </w:rPr>
              <w:t xml:space="preserve">266000,33</w:t>
            </w:r>
          </w:p>
        </w:tc>
        <w:tc>
          <w:tcPr>
            <w:tcW w:w="1191" w:type="dxa"/>
            <w:vAlign w:val="center"/>
          </w:tcPr>
          <w:p>
            <w:pPr>
              <w:pStyle w:val="0"/>
              <w:jc w:val="center"/>
            </w:pPr>
            <w:r>
              <w:rPr>
                <w:sz w:val="24"/>
              </w:rPr>
              <w:t xml:space="preserve">163258,60</w:t>
            </w:r>
          </w:p>
        </w:tc>
        <w:tc>
          <w:tcPr>
            <w:tcW w:w="1191" w:type="dxa"/>
            <w:vAlign w:val="center"/>
          </w:tcPr>
          <w:p>
            <w:pPr>
              <w:pStyle w:val="0"/>
              <w:jc w:val="center"/>
            </w:pPr>
            <w:r>
              <w:rPr>
                <w:sz w:val="24"/>
              </w:rPr>
              <w:t xml:space="preserve">326395,5</w:t>
            </w:r>
          </w:p>
        </w:tc>
        <w:tc>
          <w:tcPr>
            <w:tcW w:w="1191" w:type="dxa"/>
            <w:vAlign w:val="center"/>
          </w:tcPr>
          <w:p>
            <w:pPr>
              <w:pStyle w:val="0"/>
              <w:jc w:val="center"/>
            </w:pPr>
            <w:r>
              <w:rPr>
                <w:sz w:val="24"/>
              </w:rPr>
              <w:t xml:space="preserve">94255,40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2022 - 2028</w:t>
            </w:r>
          </w:p>
        </w:tc>
        <w:tc>
          <w:tcPr>
            <w:tcW w:w="1020" w:type="dxa"/>
            <w:vAlign w:val="center"/>
            <w:vMerge w:val="restart"/>
          </w:tcPr>
          <w:p>
            <w:pPr>
              <w:pStyle w:val="0"/>
              <w:jc w:val="center"/>
            </w:pPr>
            <w:r>
              <w:rPr>
                <w:sz w:val="24"/>
              </w:rPr>
              <w:t xml:space="preserve">5,18</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735286,80</w:t>
            </w:r>
          </w:p>
        </w:tc>
        <w:tc>
          <w:tcPr>
            <w:tcW w:w="1191" w:type="dxa"/>
            <w:vAlign w:val="center"/>
          </w:tcPr>
          <w:p>
            <w:pPr>
              <w:pStyle w:val="0"/>
              <w:jc w:val="center"/>
            </w:pPr>
            <w:r>
              <w:rPr>
                <w:sz w:val="24"/>
              </w:rPr>
              <w:t xml:space="preserve">15800,00</w:t>
            </w:r>
          </w:p>
        </w:tc>
        <w:tc>
          <w:tcPr>
            <w:tcW w:w="1144" w:type="dxa"/>
            <w:vAlign w:val="center"/>
          </w:tcPr>
          <w:p>
            <w:pPr>
              <w:pStyle w:val="0"/>
              <w:jc w:val="center"/>
            </w:pPr>
            <w:r>
              <w:rPr>
                <w:sz w:val="24"/>
              </w:rPr>
              <w:t xml:space="preserve">16141,00</w:t>
            </w:r>
          </w:p>
        </w:tc>
        <w:tc>
          <w:tcPr>
            <w:tcW w:w="1134" w:type="dxa"/>
            <w:vAlign w:val="center"/>
          </w:tcPr>
          <w:p>
            <w:pPr>
              <w:pStyle w:val="0"/>
              <w:jc w:val="center"/>
            </w:pPr>
            <w:r>
              <w:rPr>
                <w:sz w:val="24"/>
              </w:rPr>
              <w:t xml:space="preserve">242060,30</w:t>
            </w:r>
          </w:p>
        </w:tc>
        <w:tc>
          <w:tcPr>
            <w:tcW w:w="1191" w:type="dxa"/>
            <w:vAlign w:val="center"/>
          </w:tcPr>
          <w:p>
            <w:pPr>
              <w:pStyle w:val="0"/>
              <w:jc w:val="center"/>
            </w:pPr>
            <w:r>
              <w:rPr>
                <w:sz w:val="24"/>
              </w:rPr>
              <w:t xml:space="preserve">153463,0</w:t>
            </w:r>
          </w:p>
        </w:tc>
        <w:tc>
          <w:tcPr>
            <w:tcW w:w="1191" w:type="dxa"/>
            <w:vAlign w:val="center"/>
          </w:tcPr>
          <w:p>
            <w:pPr>
              <w:pStyle w:val="0"/>
              <w:jc w:val="center"/>
            </w:pPr>
            <w:r>
              <w:rPr>
                <w:sz w:val="24"/>
              </w:rPr>
              <w:t xml:space="preserve">302822,50</w:t>
            </w:r>
          </w:p>
        </w:tc>
        <w:tc>
          <w:tcPr>
            <w:tcW w:w="1191" w:type="dxa"/>
            <w:vAlign w:val="center"/>
          </w:tcPr>
          <w:p>
            <w:pPr>
              <w:pStyle w:val="0"/>
              <w:jc w:val="center"/>
            </w:pPr>
            <w:r>
              <w:rPr>
                <w:sz w:val="24"/>
              </w:rPr>
              <w:t xml:space="preserve">5000,00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149724,03</w:t>
            </w:r>
          </w:p>
        </w:tc>
        <w:tc>
          <w:tcPr>
            <w:tcW w:w="1191" w:type="dxa"/>
            <w:vAlign w:val="center"/>
          </w:tcPr>
          <w:p>
            <w:pPr>
              <w:pStyle w:val="0"/>
              <w:jc w:val="center"/>
            </w:pPr>
            <w:r>
              <w:rPr>
                <w:sz w:val="24"/>
              </w:rPr>
              <w:t xml:space="preserve">1563,64</w:t>
            </w:r>
          </w:p>
        </w:tc>
        <w:tc>
          <w:tcPr>
            <w:tcW w:w="1144" w:type="dxa"/>
            <w:vAlign w:val="center"/>
          </w:tcPr>
          <w:p>
            <w:pPr>
              <w:pStyle w:val="0"/>
              <w:jc w:val="center"/>
            </w:pPr>
            <w:r>
              <w:rPr>
                <w:sz w:val="24"/>
              </w:rPr>
              <w:t xml:space="preserve">1596,36</w:t>
            </w:r>
          </w:p>
        </w:tc>
        <w:tc>
          <w:tcPr>
            <w:tcW w:w="1134" w:type="dxa"/>
            <w:vAlign w:val="center"/>
          </w:tcPr>
          <w:p>
            <w:pPr>
              <w:pStyle w:val="0"/>
              <w:jc w:val="center"/>
            </w:pPr>
            <w:r>
              <w:rPr>
                <w:sz w:val="24"/>
              </w:rPr>
              <w:t xml:space="preserve">23940,03</w:t>
            </w:r>
          </w:p>
        </w:tc>
        <w:tc>
          <w:tcPr>
            <w:tcW w:w="1191" w:type="dxa"/>
            <w:vAlign w:val="center"/>
          </w:tcPr>
          <w:p>
            <w:pPr>
              <w:pStyle w:val="0"/>
              <w:jc w:val="center"/>
            </w:pPr>
            <w:r>
              <w:rPr>
                <w:sz w:val="24"/>
              </w:rPr>
              <w:t xml:space="preserve">9795,6</w:t>
            </w:r>
          </w:p>
        </w:tc>
        <w:tc>
          <w:tcPr>
            <w:tcW w:w="1191" w:type="dxa"/>
            <w:vAlign w:val="center"/>
          </w:tcPr>
          <w:p>
            <w:pPr>
              <w:pStyle w:val="0"/>
              <w:jc w:val="center"/>
            </w:pPr>
            <w:r>
              <w:rPr>
                <w:sz w:val="24"/>
              </w:rPr>
              <w:t xml:space="preserve">23573,0</w:t>
            </w:r>
          </w:p>
        </w:tc>
        <w:tc>
          <w:tcPr>
            <w:tcW w:w="1191" w:type="dxa"/>
            <w:vAlign w:val="center"/>
          </w:tcPr>
          <w:p>
            <w:pPr>
              <w:pStyle w:val="0"/>
              <w:jc w:val="center"/>
            </w:pPr>
            <w:r>
              <w:rPr>
                <w:sz w:val="24"/>
              </w:rPr>
              <w:t xml:space="preserve">89255,4</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5</w:t>
            </w:r>
          </w:p>
        </w:tc>
        <w:tc>
          <w:tcPr>
            <w:tcW w:w="2776" w:type="dxa"/>
            <w:vAlign w:val="center"/>
            <w:vMerge w:val="restart"/>
          </w:tcPr>
          <w:p>
            <w:pPr>
              <w:pStyle w:val="0"/>
              <w:jc w:val="center"/>
            </w:pPr>
            <w:r>
              <w:rPr>
                <w:sz w:val="24"/>
              </w:rPr>
              <w:t xml:space="preserve">Инженерная защита г. Читы от затопления паводковыми водами р. Ингода в Забайкальском крае, правый берег</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633363,32</w:t>
            </w:r>
          </w:p>
        </w:tc>
        <w:tc>
          <w:tcPr>
            <w:tcW w:w="1191" w:type="dxa"/>
            <w:vAlign w:val="center"/>
          </w:tcPr>
          <w:p>
            <w:pPr>
              <w:pStyle w:val="0"/>
              <w:jc w:val="center"/>
            </w:pPr>
            <w:r>
              <w:rPr>
                <w:sz w:val="24"/>
              </w:rPr>
              <w:t xml:space="preserve">12637,36</w:t>
            </w:r>
          </w:p>
        </w:tc>
        <w:tc>
          <w:tcPr>
            <w:tcW w:w="1144" w:type="dxa"/>
            <w:vAlign w:val="center"/>
          </w:tcPr>
          <w:p>
            <w:pPr>
              <w:pStyle w:val="0"/>
              <w:jc w:val="center"/>
            </w:pPr>
            <w:r>
              <w:rPr>
                <w:sz w:val="24"/>
              </w:rPr>
              <w:t xml:space="preserve">12434,64</w:t>
            </w:r>
          </w:p>
        </w:tc>
        <w:tc>
          <w:tcPr>
            <w:tcW w:w="1134" w:type="dxa"/>
            <w:vAlign w:val="center"/>
          </w:tcPr>
          <w:p>
            <w:pPr>
              <w:pStyle w:val="0"/>
              <w:jc w:val="center"/>
            </w:pPr>
            <w:r>
              <w:rPr>
                <w:sz w:val="24"/>
              </w:rPr>
              <w:t xml:space="preserve">80117,5</w:t>
            </w:r>
          </w:p>
        </w:tc>
        <w:tc>
          <w:tcPr>
            <w:tcW w:w="1191" w:type="dxa"/>
            <w:vAlign w:val="center"/>
          </w:tcPr>
          <w:p>
            <w:pPr>
              <w:pStyle w:val="0"/>
              <w:jc w:val="center"/>
            </w:pPr>
            <w:r>
              <w:rPr>
                <w:sz w:val="24"/>
              </w:rPr>
              <w:t xml:space="preserve">224605,07</w:t>
            </w:r>
          </w:p>
        </w:tc>
        <w:tc>
          <w:tcPr>
            <w:tcW w:w="1191" w:type="dxa"/>
            <w:vAlign w:val="center"/>
          </w:tcPr>
          <w:p>
            <w:pPr>
              <w:pStyle w:val="0"/>
              <w:jc w:val="center"/>
            </w:pPr>
            <w:r>
              <w:rPr>
                <w:sz w:val="24"/>
              </w:rPr>
              <w:t xml:space="preserve">259951,60</w:t>
            </w:r>
          </w:p>
        </w:tc>
        <w:tc>
          <w:tcPr>
            <w:tcW w:w="1191" w:type="dxa"/>
            <w:vAlign w:val="center"/>
          </w:tcPr>
          <w:p>
            <w:pPr>
              <w:pStyle w:val="0"/>
              <w:jc w:val="center"/>
            </w:pPr>
            <w:r>
              <w:rPr>
                <w:sz w:val="24"/>
              </w:rPr>
              <w:t xml:space="preserve">43617,15</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2022 - 2028</w:t>
            </w:r>
          </w:p>
        </w:tc>
        <w:tc>
          <w:tcPr>
            <w:tcW w:w="1020" w:type="dxa"/>
            <w:vAlign w:val="center"/>
            <w:vMerge w:val="restart"/>
          </w:tcPr>
          <w:p>
            <w:pPr>
              <w:pStyle w:val="0"/>
              <w:jc w:val="center"/>
            </w:pPr>
            <w:r>
              <w:rPr>
                <w:sz w:val="24"/>
              </w:rPr>
              <w:t xml:space="preserve">4,737</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551603,70</w:t>
            </w:r>
          </w:p>
        </w:tc>
        <w:tc>
          <w:tcPr>
            <w:tcW w:w="1191" w:type="dxa"/>
            <w:vAlign w:val="center"/>
          </w:tcPr>
          <w:p>
            <w:pPr>
              <w:pStyle w:val="0"/>
              <w:jc w:val="center"/>
            </w:pPr>
            <w:r>
              <w:rPr>
                <w:sz w:val="24"/>
              </w:rPr>
              <w:t xml:space="preserve">11500,00</w:t>
            </w:r>
          </w:p>
        </w:tc>
        <w:tc>
          <w:tcPr>
            <w:tcW w:w="1144" w:type="dxa"/>
            <w:vAlign w:val="center"/>
          </w:tcPr>
          <w:p>
            <w:pPr>
              <w:pStyle w:val="0"/>
              <w:jc w:val="center"/>
            </w:pPr>
            <w:r>
              <w:rPr>
                <w:sz w:val="24"/>
              </w:rPr>
              <w:t xml:space="preserve">11315,50</w:t>
            </w:r>
          </w:p>
        </w:tc>
        <w:tc>
          <w:tcPr>
            <w:tcW w:w="1134" w:type="dxa"/>
            <w:vAlign w:val="center"/>
          </w:tcPr>
          <w:p>
            <w:pPr>
              <w:pStyle w:val="0"/>
              <w:jc w:val="center"/>
            </w:pPr>
            <w:r>
              <w:rPr>
                <w:sz w:val="24"/>
              </w:rPr>
              <w:t xml:space="preserve">68305,10</w:t>
            </w:r>
          </w:p>
        </w:tc>
        <w:tc>
          <w:tcPr>
            <w:tcW w:w="1191" w:type="dxa"/>
            <w:vAlign w:val="center"/>
          </w:tcPr>
          <w:p>
            <w:pPr>
              <w:pStyle w:val="0"/>
              <w:jc w:val="center"/>
            </w:pPr>
            <w:r>
              <w:rPr>
                <w:sz w:val="24"/>
              </w:rPr>
              <w:t xml:space="preserve">211128,6</w:t>
            </w:r>
          </w:p>
        </w:tc>
        <w:tc>
          <w:tcPr>
            <w:tcW w:w="1191" w:type="dxa"/>
            <w:vAlign w:val="center"/>
          </w:tcPr>
          <w:p>
            <w:pPr>
              <w:pStyle w:val="0"/>
              <w:jc w:val="center"/>
            </w:pPr>
            <w:r>
              <w:rPr>
                <w:sz w:val="24"/>
              </w:rPr>
              <w:t xml:space="preserve">244354,5</w:t>
            </w:r>
          </w:p>
        </w:tc>
        <w:tc>
          <w:tcPr>
            <w:tcW w:w="1191" w:type="dxa"/>
            <w:vAlign w:val="center"/>
          </w:tcPr>
          <w:p>
            <w:pPr>
              <w:pStyle w:val="0"/>
              <w:jc w:val="center"/>
            </w:pPr>
            <w:r>
              <w:rPr>
                <w:sz w:val="24"/>
              </w:rPr>
              <w:t xml:space="preserve">5000,00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81759,62</w:t>
            </w:r>
          </w:p>
        </w:tc>
        <w:tc>
          <w:tcPr>
            <w:tcW w:w="1191" w:type="dxa"/>
            <w:vAlign w:val="center"/>
          </w:tcPr>
          <w:p>
            <w:pPr>
              <w:pStyle w:val="0"/>
              <w:jc w:val="center"/>
            </w:pPr>
            <w:r>
              <w:rPr>
                <w:sz w:val="24"/>
              </w:rPr>
              <w:t xml:space="preserve">1137,36</w:t>
            </w:r>
          </w:p>
        </w:tc>
        <w:tc>
          <w:tcPr>
            <w:tcW w:w="1144" w:type="dxa"/>
            <w:vAlign w:val="center"/>
          </w:tcPr>
          <w:p>
            <w:pPr>
              <w:pStyle w:val="0"/>
              <w:jc w:val="center"/>
            </w:pPr>
            <w:r>
              <w:rPr>
                <w:sz w:val="24"/>
              </w:rPr>
              <w:t xml:space="preserve">1119,14</w:t>
            </w:r>
          </w:p>
        </w:tc>
        <w:tc>
          <w:tcPr>
            <w:tcW w:w="1134" w:type="dxa"/>
            <w:vAlign w:val="center"/>
          </w:tcPr>
          <w:p>
            <w:pPr>
              <w:pStyle w:val="0"/>
              <w:jc w:val="center"/>
            </w:pPr>
            <w:r>
              <w:rPr>
                <w:sz w:val="24"/>
              </w:rPr>
              <w:t xml:space="preserve">11812,4</w:t>
            </w:r>
          </w:p>
        </w:tc>
        <w:tc>
          <w:tcPr>
            <w:tcW w:w="1191" w:type="dxa"/>
            <w:vAlign w:val="center"/>
          </w:tcPr>
          <w:p>
            <w:pPr>
              <w:pStyle w:val="0"/>
              <w:jc w:val="center"/>
            </w:pPr>
            <w:r>
              <w:rPr>
                <w:sz w:val="24"/>
              </w:rPr>
              <w:t xml:space="preserve">13476,47</w:t>
            </w:r>
          </w:p>
        </w:tc>
        <w:tc>
          <w:tcPr>
            <w:tcW w:w="1191" w:type="dxa"/>
            <w:vAlign w:val="center"/>
          </w:tcPr>
          <w:p>
            <w:pPr>
              <w:pStyle w:val="0"/>
              <w:jc w:val="center"/>
            </w:pPr>
            <w:r>
              <w:rPr>
                <w:sz w:val="24"/>
              </w:rPr>
              <w:t xml:space="preserve">15597,10</w:t>
            </w:r>
          </w:p>
        </w:tc>
        <w:tc>
          <w:tcPr>
            <w:tcW w:w="1191" w:type="dxa"/>
            <w:vAlign w:val="center"/>
          </w:tcPr>
          <w:p>
            <w:pPr>
              <w:pStyle w:val="0"/>
              <w:jc w:val="center"/>
            </w:pPr>
            <w:r>
              <w:rPr>
                <w:sz w:val="24"/>
              </w:rPr>
              <w:t xml:space="preserve">38617,15</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6</w:t>
            </w:r>
          </w:p>
        </w:tc>
        <w:tc>
          <w:tcPr>
            <w:tcW w:w="2776" w:type="dxa"/>
            <w:vAlign w:val="center"/>
            <w:vMerge w:val="restart"/>
          </w:tcPr>
          <w:p>
            <w:pPr>
              <w:pStyle w:val="0"/>
              <w:jc w:val="center"/>
            </w:pPr>
            <w:r>
              <w:rPr>
                <w:sz w:val="24"/>
              </w:rPr>
              <w:t xml:space="preserve">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880929,3</w:t>
            </w:r>
          </w:p>
        </w:tc>
        <w:tc>
          <w:tcPr>
            <w:tcW w:w="1191" w:type="dxa"/>
            <w:vAlign w:val="center"/>
          </w:tcPr>
          <w:p>
            <w:pPr>
              <w:pStyle w:val="0"/>
              <w:jc w:val="center"/>
            </w:pPr>
            <w:r>
              <w:rPr>
                <w:sz w:val="24"/>
              </w:rPr>
              <w:t xml:space="preserve">15000,00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111514,3</w:t>
            </w:r>
          </w:p>
        </w:tc>
        <w:tc>
          <w:tcPr>
            <w:tcW w:w="1191" w:type="dxa"/>
            <w:vAlign w:val="center"/>
          </w:tcPr>
          <w:p>
            <w:pPr>
              <w:pStyle w:val="0"/>
              <w:jc w:val="center"/>
            </w:pPr>
            <w:r>
              <w:rPr>
                <w:sz w:val="24"/>
              </w:rPr>
              <w:t xml:space="preserve">421196,60</w:t>
            </w:r>
          </w:p>
        </w:tc>
        <w:tc>
          <w:tcPr>
            <w:tcW w:w="1191" w:type="dxa"/>
            <w:vAlign w:val="center"/>
          </w:tcPr>
          <w:p>
            <w:pPr>
              <w:pStyle w:val="0"/>
              <w:jc w:val="center"/>
            </w:pPr>
            <w:r>
              <w:rPr>
                <w:sz w:val="24"/>
              </w:rPr>
              <w:t xml:space="preserve">285321,60</w:t>
            </w:r>
          </w:p>
        </w:tc>
        <w:tc>
          <w:tcPr>
            <w:tcW w:w="1191" w:type="dxa"/>
            <w:vAlign w:val="center"/>
          </w:tcPr>
          <w:p>
            <w:pPr>
              <w:pStyle w:val="0"/>
              <w:jc w:val="center"/>
            </w:pPr>
            <w:r>
              <w:rPr>
                <w:sz w:val="24"/>
              </w:rPr>
              <w:t xml:space="preserve">47446,80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2022 - 2028</w:t>
            </w:r>
          </w:p>
        </w:tc>
        <w:tc>
          <w:tcPr>
            <w:tcW w:w="1020" w:type="dxa"/>
            <w:vAlign w:val="center"/>
            <w:vMerge w:val="restart"/>
          </w:tcPr>
          <w:p>
            <w:pPr>
              <w:pStyle w:val="0"/>
              <w:jc w:val="center"/>
            </w:pPr>
            <w:r>
              <w:rPr>
                <w:sz w:val="24"/>
              </w:rPr>
              <w:t xml:space="preserve">13,425</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731898,40</w:t>
            </w:r>
          </w:p>
        </w:tc>
        <w:tc>
          <w:tcPr>
            <w:tcW w:w="1191" w:type="dxa"/>
            <w:vAlign w:val="center"/>
          </w:tcPr>
          <w:p>
            <w:pPr>
              <w:pStyle w:val="0"/>
              <w:jc w:val="center"/>
            </w:pPr>
            <w:r>
              <w:rPr>
                <w:sz w:val="24"/>
              </w:rPr>
              <w:t xml:space="preserve">13650,00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101478</w:t>
            </w:r>
          </w:p>
        </w:tc>
        <w:tc>
          <w:tcPr>
            <w:tcW w:w="1191" w:type="dxa"/>
            <w:vAlign w:val="center"/>
          </w:tcPr>
          <w:p>
            <w:pPr>
              <w:pStyle w:val="0"/>
              <w:jc w:val="center"/>
            </w:pPr>
            <w:r>
              <w:rPr>
                <w:sz w:val="24"/>
              </w:rPr>
              <w:t xml:space="preserve">395924,70</w:t>
            </w:r>
          </w:p>
        </w:tc>
        <w:tc>
          <w:tcPr>
            <w:tcW w:w="1191" w:type="dxa"/>
            <w:vAlign w:val="center"/>
          </w:tcPr>
          <w:p>
            <w:pPr>
              <w:pStyle w:val="0"/>
              <w:jc w:val="center"/>
            </w:pPr>
            <w:r>
              <w:rPr>
                <w:sz w:val="24"/>
              </w:rPr>
              <w:t xml:space="preserve">212845,70</w:t>
            </w:r>
          </w:p>
        </w:tc>
        <w:tc>
          <w:tcPr>
            <w:tcW w:w="1191" w:type="dxa"/>
            <w:vAlign w:val="center"/>
          </w:tcPr>
          <w:p>
            <w:pPr>
              <w:pStyle w:val="0"/>
              <w:jc w:val="center"/>
            </w:pPr>
            <w:r>
              <w:rPr>
                <w:sz w:val="24"/>
              </w:rPr>
              <w:t xml:space="preserve">8000,00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149030,90</w:t>
            </w:r>
          </w:p>
        </w:tc>
        <w:tc>
          <w:tcPr>
            <w:tcW w:w="1191" w:type="dxa"/>
            <w:vAlign w:val="center"/>
          </w:tcPr>
          <w:p>
            <w:pPr>
              <w:pStyle w:val="0"/>
              <w:jc w:val="center"/>
            </w:pPr>
            <w:r>
              <w:rPr>
                <w:sz w:val="24"/>
              </w:rPr>
              <w:t xml:space="preserve">1350,00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10036,30</w:t>
            </w:r>
          </w:p>
        </w:tc>
        <w:tc>
          <w:tcPr>
            <w:tcW w:w="1191" w:type="dxa"/>
            <w:vAlign w:val="center"/>
          </w:tcPr>
          <w:p>
            <w:pPr>
              <w:pStyle w:val="0"/>
              <w:jc w:val="center"/>
            </w:pPr>
            <w:r>
              <w:rPr>
                <w:sz w:val="24"/>
              </w:rPr>
              <w:t xml:space="preserve">25271,90</w:t>
            </w:r>
          </w:p>
        </w:tc>
        <w:tc>
          <w:tcPr>
            <w:tcW w:w="1191" w:type="dxa"/>
            <w:vAlign w:val="center"/>
          </w:tcPr>
          <w:p>
            <w:pPr>
              <w:pStyle w:val="0"/>
              <w:jc w:val="center"/>
            </w:pPr>
            <w:r>
              <w:rPr>
                <w:sz w:val="24"/>
              </w:rPr>
              <w:t xml:space="preserve">72475,90</w:t>
            </w:r>
          </w:p>
        </w:tc>
        <w:tc>
          <w:tcPr>
            <w:tcW w:w="1191" w:type="dxa"/>
            <w:vAlign w:val="center"/>
          </w:tcPr>
          <w:p>
            <w:pPr>
              <w:pStyle w:val="0"/>
              <w:jc w:val="center"/>
            </w:pPr>
            <w:r>
              <w:rPr>
                <w:sz w:val="24"/>
              </w:rPr>
              <w:t xml:space="preserve">39446,80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7</w:t>
            </w:r>
          </w:p>
        </w:tc>
        <w:tc>
          <w:tcPr>
            <w:tcW w:w="2776" w:type="dxa"/>
            <w:vAlign w:val="center"/>
            <w:vMerge w:val="restart"/>
          </w:tcPr>
          <w:p>
            <w:pPr>
              <w:pStyle w:val="0"/>
              <w:jc w:val="center"/>
            </w:pPr>
            <w:r>
              <w:rPr>
                <w:sz w:val="24"/>
              </w:rPr>
              <w:t xml:space="preserve">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683007,10</w:t>
            </w:r>
          </w:p>
        </w:tc>
        <w:tc>
          <w:tcPr>
            <w:tcW w:w="1191" w:type="dxa"/>
            <w:vAlign w:val="center"/>
          </w:tcPr>
          <w:p>
            <w:pPr>
              <w:pStyle w:val="0"/>
              <w:jc w:val="center"/>
            </w:pPr>
            <w:r>
              <w:rPr>
                <w:sz w:val="24"/>
              </w:rPr>
              <w:t xml:space="preserve">15000,00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8725</w:t>
            </w:r>
          </w:p>
        </w:tc>
        <w:tc>
          <w:tcPr>
            <w:tcW w:w="1191" w:type="dxa"/>
            <w:vAlign w:val="center"/>
          </w:tcPr>
          <w:p>
            <w:pPr>
              <w:pStyle w:val="0"/>
              <w:jc w:val="center"/>
            </w:pPr>
            <w:r>
              <w:rPr>
                <w:sz w:val="24"/>
              </w:rPr>
              <w:t xml:space="preserve">163482,45</w:t>
            </w:r>
          </w:p>
        </w:tc>
        <w:tc>
          <w:tcPr>
            <w:tcW w:w="1191" w:type="dxa"/>
            <w:vAlign w:val="center"/>
          </w:tcPr>
          <w:p>
            <w:pPr>
              <w:pStyle w:val="0"/>
              <w:jc w:val="center"/>
            </w:pPr>
            <w:r>
              <w:rPr>
                <w:sz w:val="24"/>
              </w:rPr>
              <w:t xml:space="preserve">401650,71</w:t>
            </w:r>
          </w:p>
        </w:tc>
        <w:tc>
          <w:tcPr>
            <w:tcW w:w="1191" w:type="dxa"/>
            <w:vAlign w:val="center"/>
          </w:tcPr>
          <w:p>
            <w:pPr>
              <w:pStyle w:val="0"/>
              <w:jc w:val="center"/>
            </w:pPr>
            <w:r>
              <w:rPr>
                <w:sz w:val="24"/>
              </w:rPr>
              <w:t xml:space="preserve">94148,94</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2022 - 2028</w:t>
            </w:r>
          </w:p>
        </w:tc>
        <w:tc>
          <w:tcPr>
            <w:tcW w:w="1020" w:type="dxa"/>
            <w:vAlign w:val="center"/>
            <w:vMerge w:val="restart"/>
          </w:tcPr>
          <w:p>
            <w:pPr>
              <w:pStyle w:val="0"/>
              <w:jc w:val="center"/>
            </w:pPr>
            <w:r>
              <w:rPr>
                <w:sz w:val="24"/>
              </w:rPr>
              <w:t xml:space="preserve">9,07</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565957,30</w:t>
            </w:r>
          </w:p>
        </w:tc>
        <w:tc>
          <w:tcPr>
            <w:tcW w:w="1191" w:type="dxa"/>
            <w:vAlign w:val="center"/>
          </w:tcPr>
          <w:p>
            <w:pPr>
              <w:pStyle w:val="0"/>
              <w:jc w:val="center"/>
            </w:pPr>
            <w:r>
              <w:rPr>
                <w:sz w:val="24"/>
              </w:rPr>
              <w:t xml:space="preserve">13650,00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7939,7</w:t>
            </w:r>
          </w:p>
        </w:tc>
        <w:tc>
          <w:tcPr>
            <w:tcW w:w="1191" w:type="dxa"/>
            <w:vAlign w:val="center"/>
          </w:tcPr>
          <w:p>
            <w:pPr>
              <w:pStyle w:val="0"/>
              <w:jc w:val="center"/>
            </w:pPr>
            <w:r>
              <w:rPr>
                <w:sz w:val="24"/>
              </w:rPr>
              <w:t xml:space="preserve">153673,50</w:t>
            </w:r>
          </w:p>
        </w:tc>
        <w:tc>
          <w:tcPr>
            <w:tcW w:w="1191" w:type="dxa"/>
            <w:vAlign w:val="center"/>
          </w:tcPr>
          <w:p>
            <w:pPr>
              <w:pStyle w:val="0"/>
              <w:jc w:val="center"/>
            </w:pPr>
            <w:r>
              <w:rPr>
                <w:sz w:val="24"/>
              </w:rPr>
              <w:t xml:space="preserve">366694,10</w:t>
            </w:r>
          </w:p>
        </w:tc>
        <w:tc>
          <w:tcPr>
            <w:tcW w:w="1191" w:type="dxa"/>
            <w:vAlign w:val="center"/>
          </w:tcPr>
          <w:p>
            <w:pPr>
              <w:pStyle w:val="0"/>
              <w:jc w:val="center"/>
            </w:pPr>
            <w:r>
              <w:rPr>
                <w:sz w:val="24"/>
              </w:rPr>
              <w:t xml:space="preserve">24000,00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117049,80</w:t>
            </w:r>
          </w:p>
        </w:tc>
        <w:tc>
          <w:tcPr>
            <w:tcW w:w="1191" w:type="dxa"/>
            <w:vAlign w:val="center"/>
          </w:tcPr>
          <w:p>
            <w:pPr>
              <w:pStyle w:val="0"/>
              <w:jc w:val="center"/>
            </w:pPr>
            <w:r>
              <w:rPr>
                <w:sz w:val="24"/>
              </w:rPr>
              <w:t xml:space="preserve">1350,00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785,3</w:t>
            </w:r>
          </w:p>
        </w:tc>
        <w:tc>
          <w:tcPr>
            <w:tcW w:w="1191" w:type="dxa"/>
            <w:vAlign w:val="center"/>
          </w:tcPr>
          <w:p>
            <w:pPr>
              <w:pStyle w:val="0"/>
              <w:jc w:val="center"/>
            </w:pPr>
            <w:r>
              <w:rPr>
                <w:sz w:val="24"/>
              </w:rPr>
              <w:t xml:space="preserve">9808,95</w:t>
            </w:r>
          </w:p>
        </w:tc>
        <w:tc>
          <w:tcPr>
            <w:tcW w:w="1191" w:type="dxa"/>
            <w:vAlign w:val="center"/>
          </w:tcPr>
          <w:p>
            <w:pPr>
              <w:pStyle w:val="0"/>
              <w:jc w:val="center"/>
            </w:pPr>
            <w:r>
              <w:rPr>
                <w:sz w:val="24"/>
              </w:rPr>
              <w:t xml:space="preserve">34956,61</w:t>
            </w:r>
          </w:p>
        </w:tc>
        <w:tc>
          <w:tcPr>
            <w:tcW w:w="1191" w:type="dxa"/>
            <w:vAlign w:val="center"/>
          </w:tcPr>
          <w:p>
            <w:pPr>
              <w:pStyle w:val="0"/>
              <w:jc w:val="center"/>
            </w:pPr>
            <w:r>
              <w:rPr>
                <w:sz w:val="24"/>
              </w:rPr>
              <w:t xml:space="preserve">70148,94</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8</w:t>
            </w:r>
          </w:p>
        </w:tc>
        <w:tc>
          <w:tcPr>
            <w:tcW w:w="2776" w:type="dxa"/>
            <w:vAlign w:val="center"/>
            <w:vMerge w:val="restart"/>
          </w:tcPr>
          <w:p>
            <w:pPr>
              <w:pStyle w:val="0"/>
              <w:jc w:val="center"/>
            </w:pPr>
            <w:r>
              <w:rPr>
                <w:sz w:val="24"/>
              </w:rPr>
              <w:t xml:space="preserve">Строительство инженерных сооружений для защиты г. Хилок от затопления паводковыми водами реки Хилок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287234,04</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2426</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74468,08</w:t>
            </w:r>
          </w:p>
        </w:tc>
        <w:tc>
          <w:tcPr>
            <w:tcW w:w="1191" w:type="dxa"/>
            <w:vAlign w:val="center"/>
          </w:tcPr>
          <w:p>
            <w:pPr>
              <w:pStyle w:val="0"/>
              <w:jc w:val="center"/>
            </w:pPr>
            <w:r>
              <w:rPr>
                <w:sz w:val="24"/>
              </w:rPr>
              <w:t xml:space="preserve">31914,89</w:t>
            </w:r>
          </w:p>
        </w:tc>
        <w:tc>
          <w:tcPr>
            <w:tcW w:w="1247" w:type="dxa"/>
            <w:vAlign w:val="center"/>
          </w:tcPr>
          <w:p>
            <w:pPr>
              <w:pStyle w:val="0"/>
              <w:jc w:val="center"/>
            </w:pPr>
            <w:r>
              <w:rPr>
                <w:sz w:val="24"/>
              </w:rPr>
              <w:t xml:space="preserve">180851,07</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2026 - 2029</w:t>
            </w:r>
          </w:p>
        </w:tc>
        <w:tc>
          <w:tcPr>
            <w:tcW w:w="1020" w:type="dxa"/>
            <w:vAlign w:val="center"/>
            <w:vMerge w:val="restart"/>
          </w:tcPr>
          <w:p>
            <w:pPr>
              <w:pStyle w:val="0"/>
              <w:jc w:val="center"/>
            </w:pPr>
            <w:r>
              <w:rPr>
                <w:sz w:val="24"/>
              </w:rPr>
              <w:t xml:space="preserve">7,051</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270000,00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70000</w:t>
            </w:r>
          </w:p>
        </w:tc>
        <w:tc>
          <w:tcPr>
            <w:tcW w:w="1191" w:type="dxa"/>
            <w:vAlign w:val="center"/>
          </w:tcPr>
          <w:p>
            <w:pPr>
              <w:pStyle w:val="0"/>
              <w:jc w:val="center"/>
            </w:pPr>
            <w:r>
              <w:rPr>
                <w:sz w:val="24"/>
              </w:rPr>
              <w:t xml:space="preserve">30000,0</w:t>
            </w:r>
          </w:p>
        </w:tc>
        <w:tc>
          <w:tcPr>
            <w:tcW w:w="1247" w:type="dxa"/>
            <w:vAlign w:val="center"/>
          </w:tcPr>
          <w:p>
            <w:pPr>
              <w:pStyle w:val="0"/>
              <w:jc w:val="center"/>
            </w:pPr>
            <w:r>
              <w:rPr>
                <w:sz w:val="24"/>
              </w:rPr>
              <w:t xml:space="preserve">170000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17234,04</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4468,08</w:t>
            </w:r>
          </w:p>
        </w:tc>
        <w:tc>
          <w:tcPr>
            <w:tcW w:w="1191" w:type="dxa"/>
            <w:vAlign w:val="center"/>
          </w:tcPr>
          <w:p>
            <w:pPr>
              <w:pStyle w:val="0"/>
              <w:jc w:val="center"/>
            </w:pPr>
            <w:r>
              <w:rPr>
                <w:sz w:val="24"/>
              </w:rPr>
              <w:t xml:space="preserve">1914,89</w:t>
            </w:r>
          </w:p>
        </w:tc>
        <w:tc>
          <w:tcPr>
            <w:tcW w:w="1247" w:type="dxa"/>
            <w:vAlign w:val="center"/>
          </w:tcPr>
          <w:p>
            <w:pPr>
              <w:pStyle w:val="0"/>
              <w:jc w:val="center"/>
            </w:pPr>
            <w:r>
              <w:rPr>
                <w:sz w:val="24"/>
              </w:rPr>
              <w:t xml:space="preserve">10851,07</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9</w:t>
            </w:r>
          </w:p>
        </w:tc>
        <w:tc>
          <w:tcPr>
            <w:tcW w:w="2776" w:type="dxa"/>
            <w:vAlign w:val="center"/>
            <w:vMerge w:val="restart"/>
          </w:tcPr>
          <w:p>
            <w:pPr>
              <w:pStyle w:val="0"/>
              <w:jc w:val="center"/>
            </w:pPr>
            <w:r>
              <w:rPr>
                <w:sz w:val="24"/>
              </w:rPr>
              <w:t xml:space="preserve">Строительство инженерных сооружений для защиты с. Хохотуй Петровск-Забайкальского района от затопления паводковыми водами реки Хилок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2029 - 2030</w:t>
            </w:r>
          </w:p>
        </w:tc>
        <w:tc>
          <w:tcPr>
            <w:tcW w:w="1020" w:type="dxa"/>
            <w:vAlign w:val="center"/>
            <w:vMerge w:val="restart"/>
          </w:tcPr>
          <w:p>
            <w:pPr>
              <w:pStyle w:val="0"/>
              <w:jc w:val="center"/>
            </w:pPr>
            <w:r>
              <w:rPr>
                <w:sz w:val="24"/>
              </w:rPr>
              <w:t xml:space="preserve">2,158</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10</w:t>
            </w:r>
          </w:p>
        </w:tc>
        <w:tc>
          <w:tcPr>
            <w:tcW w:w="2776" w:type="dxa"/>
            <w:vAlign w:val="center"/>
            <w:vMerge w:val="restart"/>
          </w:tcPr>
          <w:p>
            <w:pPr>
              <w:pStyle w:val="0"/>
              <w:jc w:val="center"/>
            </w:pPr>
            <w:r>
              <w:rPr>
                <w:sz w:val="24"/>
              </w:rPr>
              <w:t xml:space="preserve">Строительство инженерных сооружений для защиты с. Быково Красночикойского района от затопления паводковыми водами реки Чикой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2029</w:t>
            </w:r>
          </w:p>
        </w:tc>
        <w:tc>
          <w:tcPr>
            <w:tcW w:w="1020" w:type="dxa"/>
            <w:vAlign w:val="center"/>
            <w:vMerge w:val="restart"/>
          </w:tcPr>
          <w:p>
            <w:pPr>
              <w:pStyle w:val="0"/>
              <w:jc w:val="center"/>
            </w:pPr>
            <w:r>
              <w:rPr>
                <w:sz w:val="24"/>
              </w:rPr>
              <w:t xml:space="preserve">1,497</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11</w:t>
            </w:r>
          </w:p>
        </w:tc>
        <w:tc>
          <w:tcPr>
            <w:tcW w:w="2776" w:type="dxa"/>
            <w:vAlign w:val="center"/>
            <w:vMerge w:val="restart"/>
          </w:tcPr>
          <w:p>
            <w:pPr>
              <w:pStyle w:val="0"/>
              <w:jc w:val="center"/>
            </w:pPr>
            <w:r>
              <w:rPr>
                <w:sz w:val="24"/>
              </w:rPr>
              <w:t xml:space="preserve">Разработка проектной документации и реконструкция защитной дамбы в с. Красный Чикой Красночикойского муниципального округа от затопления паводковыми водами реки Чикой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2031 - 2035</w:t>
            </w:r>
          </w:p>
        </w:tc>
        <w:tc>
          <w:tcPr>
            <w:tcW w:w="1020" w:type="dxa"/>
            <w:vAlign w:val="center"/>
            <w:vMerge w:val="restart"/>
          </w:tcPr>
          <w:p>
            <w:pPr>
              <w:pStyle w:val="0"/>
              <w:jc w:val="center"/>
            </w:pPr>
            <w:r>
              <w:rPr>
                <w:sz w:val="24"/>
              </w:rPr>
              <w:t xml:space="preserve">4,0</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12</w:t>
            </w:r>
          </w:p>
        </w:tc>
        <w:tc>
          <w:tcPr>
            <w:tcW w:w="2776" w:type="dxa"/>
            <w:vAlign w:val="center"/>
            <w:vMerge w:val="restart"/>
          </w:tcPr>
          <w:p>
            <w:pPr>
              <w:pStyle w:val="0"/>
              <w:jc w:val="center"/>
            </w:pPr>
            <w:r>
              <w:rPr>
                <w:sz w:val="24"/>
              </w:rPr>
              <w:t xml:space="preserve">Строительство инженерных сооружений для защиты пгт. Могзон Хилокского района от затопления паводковыми водами рек Хилок, Алентуй и Хила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2029 - 2031</w:t>
            </w:r>
          </w:p>
        </w:tc>
        <w:tc>
          <w:tcPr>
            <w:tcW w:w="1020" w:type="dxa"/>
            <w:vAlign w:val="center"/>
            <w:vMerge w:val="restart"/>
          </w:tcPr>
          <w:p>
            <w:pPr>
              <w:pStyle w:val="0"/>
              <w:jc w:val="center"/>
            </w:pPr>
            <w:r>
              <w:rPr>
                <w:sz w:val="24"/>
              </w:rPr>
              <w:t xml:space="preserve">15,0</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13</w:t>
            </w:r>
          </w:p>
        </w:tc>
        <w:tc>
          <w:tcPr>
            <w:tcW w:w="2776" w:type="dxa"/>
            <w:vAlign w:val="center"/>
            <w:vMerge w:val="restart"/>
          </w:tcPr>
          <w:p>
            <w:pPr>
              <w:pStyle w:val="0"/>
              <w:jc w:val="center"/>
            </w:pPr>
            <w:r>
              <w:rPr>
                <w:sz w:val="24"/>
              </w:rPr>
              <w:t xml:space="preserve">Разработка проектной документации и строительство инженерных сооружений для защиты с. Газимурский Завод от затопления паводковыми водами реки Газимур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2031 - 2035</w:t>
            </w:r>
          </w:p>
        </w:tc>
        <w:tc>
          <w:tcPr>
            <w:tcW w:w="1020" w:type="dxa"/>
            <w:vAlign w:val="center"/>
            <w:vMerge w:val="restart"/>
          </w:tcPr>
          <w:p>
            <w:pPr>
              <w:pStyle w:val="0"/>
              <w:jc w:val="center"/>
            </w:pPr>
            <w:r>
              <w:rPr>
                <w:sz w:val="24"/>
              </w:rPr>
              <w:t xml:space="preserve">4,5</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14</w:t>
            </w:r>
          </w:p>
        </w:tc>
        <w:tc>
          <w:tcPr>
            <w:tcW w:w="2776" w:type="dxa"/>
            <w:vAlign w:val="center"/>
            <w:vMerge w:val="restart"/>
          </w:tcPr>
          <w:p>
            <w:pPr>
              <w:pStyle w:val="0"/>
              <w:jc w:val="center"/>
            </w:pPr>
            <w:r>
              <w:rPr>
                <w:sz w:val="24"/>
              </w:rPr>
              <w:t xml:space="preserve">Разработка проектной документации и строительство инженерных сооружений для защиты с. Чара Каларского муниципального округа от паводковых вод р. Чара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2031 - 2035</w:t>
            </w:r>
          </w:p>
        </w:tc>
        <w:tc>
          <w:tcPr>
            <w:tcW w:w="1020" w:type="dxa"/>
            <w:vAlign w:val="center"/>
            <w:vMerge w:val="restart"/>
          </w:tcPr>
          <w:p>
            <w:pPr>
              <w:pStyle w:val="0"/>
              <w:jc w:val="center"/>
            </w:pPr>
            <w:r>
              <w:rPr>
                <w:sz w:val="24"/>
              </w:rPr>
              <w:t xml:space="preserve">1,82</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15</w:t>
            </w:r>
          </w:p>
        </w:tc>
        <w:tc>
          <w:tcPr>
            <w:tcW w:w="2776" w:type="dxa"/>
            <w:vAlign w:val="center"/>
            <w:vMerge w:val="restart"/>
          </w:tcPr>
          <w:p>
            <w:pPr>
              <w:pStyle w:val="0"/>
              <w:jc w:val="center"/>
            </w:pPr>
            <w:r>
              <w:rPr>
                <w:sz w:val="24"/>
              </w:rPr>
              <w:t xml:space="preserve">Разработка проектной документации и строительство инженерных сооружений для защиты г. Нерчинск от затопления паводковыми водами р. Нерча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2031 - 2035</w:t>
            </w:r>
          </w:p>
        </w:tc>
        <w:tc>
          <w:tcPr>
            <w:tcW w:w="1020" w:type="dxa"/>
            <w:vAlign w:val="center"/>
            <w:vMerge w:val="restart"/>
          </w:tcPr>
          <w:p>
            <w:pPr>
              <w:pStyle w:val="0"/>
              <w:jc w:val="center"/>
            </w:pPr>
            <w:r>
              <w:rPr>
                <w:sz w:val="24"/>
              </w:rPr>
              <w:t xml:space="preserve">6,2</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16</w:t>
            </w:r>
          </w:p>
        </w:tc>
        <w:tc>
          <w:tcPr>
            <w:tcW w:w="2776" w:type="dxa"/>
            <w:vAlign w:val="center"/>
            <w:vMerge w:val="restart"/>
          </w:tcPr>
          <w:p>
            <w:pPr>
              <w:pStyle w:val="0"/>
              <w:jc w:val="center"/>
            </w:pPr>
            <w:r>
              <w:rPr>
                <w:sz w:val="24"/>
              </w:rPr>
              <w:t xml:space="preserve">Разработка проектной документации и строительство инженерных сооружений для защиты с. Шелопугино Шелопугинского муниципального округа от затопления паводковыми водами р. Унда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2031 - 2035</w:t>
            </w:r>
          </w:p>
        </w:tc>
        <w:tc>
          <w:tcPr>
            <w:tcW w:w="1020" w:type="dxa"/>
            <w:vAlign w:val="center"/>
            <w:vMerge w:val="restart"/>
          </w:tcPr>
          <w:p>
            <w:pPr>
              <w:pStyle w:val="0"/>
              <w:jc w:val="center"/>
            </w:pPr>
            <w:r>
              <w:rPr>
                <w:sz w:val="24"/>
              </w:rPr>
              <w:t xml:space="preserve">9,0</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17</w:t>
            </w:r>
          </w:p>
        </w:tc>
        <w:tc>
          <w:tcPr>
            <w:tcW w:w="2776" w:type="dxa"/>
            <w:vAlign w:val="center"/>
            <w:vMerge w:val="restart"/>
          </w:tcPr>
          <w:p>
            <w:pPr>
              <w:pStyle w:val="0"/>
              <w:jc w:val="center"/>
            </w:pPr>
            <w:r>
              <w:rPr>
                <w:sz w:val="24"/>
              </w:rPr>
              <w:t xml:space="preserve">Разработка проектной документации и строительство инженерных сооружений для защиты с. Угдан Читинского муниципального округа от паводковых вод р. Чита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2031 - 2035</w:t>
            </w:r>
          </w:p>
        </w:tc>
        <w:tc>
          <w:tcPr>
            <w:tcW w:w="1020" w:type="dxa"/>
            <w:vAlign w:val="center"/>
            <w:vMerge w:val="restart"/>
          </w:tcPr>
          <w:p>
            <w:pPr>
              <w:pStyle w:val="0"/>
              <w:jc w:val="center"/>
            </w:pPr>
            <w:r>
              <w:rPr>
                <w:sz w:val="24"/>
              </w:rPr>
              <w:t xml:space="preserve">5,0</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18</w:t>
            </w:r>
          </w:p>
        </w:tc>
        <w:tc>
          <w:tcPr>
            <w:tcW w:w="2776" w:type="dxa"/>
            <w:vAlign w:val="center"/>
            <w:vMerge w:val="restart"/>
          </w:tcPr>
          <w:p>
            <w:pPr>
              <w:pStyle w:val="0"/>
              <w:jc w:val="center"/>
            </w:pPr>
            <w:r>
              <w:rPr>
                <w:sz w:val="24"/>
              </w:rPr>
              <w:t xml:space="preserve">Разработка проектной документации и строительство гидротехнических сооружений в г. Чита на р. Чита от моста по ул. Ковыльная до моста на трассе Р-297 "Амур"</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2027 - 2031</w:t>
            </w:r>
          </w:p>
        </w:tc>
        <w:tc>
          <w:tcPr>
            <w:tcW w:w="1020" w:type="dxa"/>
            <w:vAlign w:val="center"/>
            <w:vMerge w:val="restart"/>
          </w:tcPr>
          <w:p>
            <w:pPr>
              <w:pStyle w:val="0"/>
              <w:jc w:val="center"/>
            </w:pPr>
            <w:r>
              <w:rPr>
                <w:sz w:val="24"/>
              </w:rPr>
              <w:t xml:space="preserve">21,5</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19</w:t>
            </w:r>
          </w:p>
        </w:tc>
        <w:tc>
          <w:tcPr>
            <w:tcW w:w="2776" w:type="dxa"/>
            <w:vAlign w:val="center"/>
            <w:vMerge w:val="restart"/>
          </w:tcPr>
          <w:p>
            <w:pPr>
              <w:pStyle w:val="0"/>
              <w:jc w:val="center"/>
            </w:pPr>
            <w:r>
              <w:rPr>
                <w:sz w:val="24"/>
              </w:rPr>
              <w:t xml:space="preserve">Разработка проектной документации и строительство гидротехнических сооружений в г. Чите на р. Чита от моста по ул. Ярославского до устья (левый берег)</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2027 - 2031</w:t>
            </w:r>
          </w:p>
        </w:tc>
        <w:tc>
          <w:tcPr>
            <w:tcW w:w="1020" w:type="dxa"/>
            <w:vAlign w:val="center"/>
            <w:vMerge w:val="restart"/>
          </w:tcPr>
          <w:p>
            <w:pPr>
              <w:pStyle w:val="0"/>
              <w:jc w:val="center"/>
            </w:pPr>
            <w:r>
              <w:rPr>
                <w:sz w:val="24"/>
              </w:rPr>
              <w:t xml:space="preserve">2,0</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tcPr>
          <w:p>
            <w:pPr>
              <w:pStyle w:val="0"/>
            </w:pPr>
            <w:r>
              <w:rPr>
                <w:sz w:val="24"/>
              </w:rPr>
            </w:r>
          </w:p>
        </w:tc>
        <w:tc>
          <w:tcPr>
            <w:gridSpan w:val="20"/>
            <w:tcW w:w="22493" w:type="dxa"/>
            <w:vAlign w:val="center"/>
          </w:tcPr>
          <w:p>
            <w:pPr>
              <w:pStyle w:val="0"/>
              <w:outlineLvl w:val="2"/>
              <w:jc w:val="center"/>
            </w:pPr>
            <w:r>
              <w:rPr>
                <w:sz w:val="24"/>
              </w:rPr>
              <w:t xml:space="preserve">2. Мероприятия по капитальному ремонту гидротехнических сооружений</w:t>
            </w:r>
          </w:p>
        </w:tc>
      </w:tr>
      <w:tr>
        <w:tc>
          <w:tcPr>
            <w:tcW w:w="460" w:type="dxa"/>
            <w:vAlign w:val="center"/>
            <w:vMerge w:val="restart"/>
          </w:tcPr>
          <w:p>
            <w:pPr>
              <w:pStyle w:val="0"/>
              <w:jc w:val="center"/>
            </w:pPr>
            <w:r>
              <w:rPr>
                <w:sz w:val="24"/>
              </w:rPr>
              <w:t xml:space="preserve">20</w:t>
            </w:r>
          </w:p>
        </w:tc>
        <w:tc>
          <w:tcPr>
            <w:tcW w:w="2776" w:type="dxa"/>
            <w:vAlign w:val="center"/>
            <w:vMerge w:val="restart"/>
          </w:tcPr>
          <w:p>
            <w:pPr>
              <w:pStyle w:val="0"/>
              <w:jc w:val="center"/>
            </w:pPr>
            <w:r>
              <w:rPr>
                <w:sz w:val="24"/>
              </w:rPr>
              <w:t xml:space="preserve">Капитальный ремонт инженерных сооружений для защиты пгт. Приисковый от паводковых вод реки Нерча в Забайкальском крае</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157559,94</w:t>
            </w:r>
          </w:p>
        </w:tc>
        <w:tc>
          <w:tcPr>
            <w:tcW w:w="1191" w:type="dxa"/>
            <w:vAlign w:val="center"/>
          </w:tcPr>
          <w:p>
            <w:pPr>
              <w:pStyle w:val="0"/>
              <w:jc w:val="center"/>
            </w:pPr>
            <w:r>
              <w:rPr>
                <w:sz w:val="24"/>
              </w:rPr>
              <w:t xml:space="preserve">67352,53</w:t>
            </w:r>
          </w:p>
        </w:tc>
        <w:tc>
          <w:tcPr>
            <w:tcW w:w="1144" w:type="dxa"/>
            <w:vAlign w:val="center"/>
          </w:tcPr>
          <w:p>
            <w:pPr>
              <w:pStyle w:val="0"/>
              <w:jc w:val="center"/>
            </w:pPr>
            <w:r>
              <w:rPr>
                <w:sz w:val="24"/>
              </w:rPr>
              <w:t xml:space="preserve">90207,41</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2022 - 2023</w:t>
            </w:r>
          </w:p>
        </w:tc>
        <w:tc>
          <w:tcPr>
            <w:tcW w:w="1020" w:type="dxa"/>
            <w:vAlign w:val="center"/>
            <w:vMerge w:val="restart"/>
          </w:tcPr>
          <w:p>
            <w:pPr>
              <w:pStyle w:val="0"/>
              <w:jc w:val="center"/>
            </w:pPr>
            <w:r>
              <w:rPr>
                <w:sz w:val="24"/>
              </w:rPr>
              <w:t xml:space="preserve">2,2</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143379,45</w:t>
            </w:r>
          </w:p>
        </w:tc>
        <w:tc>
          <w:tcPr>
            <w:tcW w:w="1191" w:type="dxa"/>
            <w:vAlign w:val="center"/>
          </w:tcPr>
          <w:p>
            <w:pPr>
              <w:pStyle w:val="0"/>
              <w:jc w:val="center"/>
            </w:pPr>
            <w:r>
              <w:rPr>
                <w:sz w:val="24"/>
              </w:rPr>
              <w:t xml:space="preserve">61290,75</w:t>
            </w:r>
          </w:p>
        </w:tc>
        <w:tc>
          <w:tcPr>
            <w:tcW w:w="1144" w:type="dxa"/>
            <w:vAlign w:val="center"/>
          </w:tcPr>
          <w:p>
            <w:pPr>
              <w:pStyle w:val="0"/>
              <w:jc w:val="center"/>
            </w:pPr>
            <w:r>
              <w:rPr>
                <w:sz w:val="24"/>
              </w:rPr>
              <w:t xml:space="preserve">82088,7</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0,0 0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14180,5</w:t>
            </w:r>
          </w:p>
        </w:tc>
        <w:tc>
          <w:tcPr>
            <w:tcW w:w="1191" w:type="dxa"/>
            <w:vAlign w:val="center"/>
          </w:tcPr>
          <w:p>
            <w:pPr>
              <w:pStyle w:val="0"/>
              <w:jc w:val="center"/>
            </w:pPr>
            <w:r>
              <w:rPr>
                <w:sz w:val="24"/>
              </w:rPr>
              <w:t xml:space="preserve">6061,79</w:t>
            </w:r>
          </w:p>
        </w:tc>
        <w:tc>
          <w:tcPr>
            <w:tcW w:w="1144" w:type="dxa"/>
            <w:vAlign w:val="center"/>
          </w:tcPr>
          <w:p>
            <w:pPr>
              <w:pStyle w:val="0"/>
              <w:jc w:val="center"/>
            </w:pPr>
            <w:r>
              <w:rPr>
                <w:sz w:val="24"/>
              </w:rPr>
              <w:t xml:space="preserve">8118,71</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21</w:t>
            </w:r>
          </w:p>
        </w:tc>
        <w:tc>
          <w:tcPr>
            <w:tcW w:w="2776" w:type="dxa"/>
            <w:vAlign w:val="center"/>
            <w:vMerge w:val="restart"/>
          </w:tcPr>
          <w:p>
            <w:pPr>
              <w:pStyle w:val="0"/>
              <w:jc w:val="center"/>
            </w:pPr>
            <w:r>
              <w:rPr>
                <w:sz w:val="24"/>
              </w:rPr>
              <w:t xml:space="preserve">Капитальный ремонт дамбы обвалования, берегового укрепления из каменной наброски в с. Улеты Улетовского района Забайкальского края</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249939,22</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90284,51</w:t>
            </w:r>
          </w:p>
        </w:tc>
        <w:tc>
          <w:tcPr>
            <w:tcW w:w="1134" w:type="dxa"/>
            <w:vAlign w:val="center"/>
          </w:tcPr>
          <w:p>
            <w:pPr>
              <w:pStyle w:val="0"/>
              <w:jc w:val="center"/>
            </w:pPr>
            <w:r>
              <w:rPr>
                <w:sz w:val="24"/>
              </w:rPr>
              <w:t xml:space="preserve">157243,52</w:t>
            </w:r>
          </w:p>
        </w:tc>
        <w:tc>
          <w:tcPr>
            <w:tcW w:w="1191" w:type="dxa"/>
            <w:vAlign w:val="center"/>
          </w:tcPr>
          <w:p>
            <w:pPr>
              <w:pStyle w:val="0"/>
              <w:jc w:val="center"/>
            </w:pPr>
            <w:r>
              <w:rPr>
                <w:sz w:val="24"/>
              </w:rPr>
              <w:t xml:space="preserve">2411,19</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2023 - 2025</w:t>
            </w:r>
          </w:p>
        </w:tc>
        <w:tc>
          <w:tcPr>
            <w:tcW w:w="1020" w:type="dxa"/>
            <w:vAlign w:val="center"/>
            <w:vMerge w:val="restart"/>
          </w:tcPr>
          <w:p>
            <w:pPr>
              <w:pStyle w:val="0"/>
              <w:jc w:val="center"/>
            </w:pPr>
            <w:r>
              <w:rPr>
                <w:sz w:val="24"/>
              </w:rPr>
              <w:t xml:space="preserve">8,092</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227517,0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82158,90</w:t>
            </w:r>
          </w:p>
        </w:tc>
        <w:tc>
          <w:tcPr>
            <w:tcW w:w="1134" w:type="dxa"/>
            <w:vAlign w:val="center"/>
          </w:tcPr>
          <w:p>
            <w:pPr>
              <w:pStyle w:val="0"/>
              <w:jc w:val="center"/>
            </w:pPr>
            <w:r>
              <w:rPr>
                <w:sz w:val="24"/>
              </w:rPr>
              <w:t xml:space="preserve">143091,6</w:t>
            </w:r>
          </w:p>
        </w:tc>
        <w:tc>
          <w:tcPr>
            <w:tcW w:w="1191" w:type="dxa"/>
            <w:vAlign w:val="center"/>
          </w:tcPr>
          <w:p>
            <w:pPr>
              <w:pStyle w:val="0"/>
              <w:jc w:val="center"/>
            </w:pPr>
            <w:r>
              <w:rPr>
                <w:sz w:val="24"/>
              </w:rPr>
              <w:t xml:space="preserve">2266,5</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22422,22</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8125,61</w:t>
            </w:r>
          </w:p>
        </w:tc>
        <w:tc>
          <w:tcPr>
            <w:tcW w:w="1134" w:type="dxa"/>
            <w:vAlign w:val="center"/>
          </w:tcPr>
          <w:p>
            <w:pPr>
              <w:pStyle w:val="0"/>
              <w:jc w:val="center"/>
            </w:pPr>
            <w:r>
              <w:rPr>
                <w:sz w:val="24"/>
              </w:rPr>
              <w:t xml:space="preserve">14151,92</w:t>
            </w:r>
          </w:p>
        </w:tc>
        <w:tc>
          <w:tcPr>
            <w:tcW w:w="1191" w:type="dxa"/>
            <w:vAlign w:val="center"/>
          </w:tcPr>
          <w:p>
            <w:pPr>
              <w:pStyle w:val="0"/>
              <w:jc w:val="center"/>
            </w:pPr>
            <w:r>
              <w:rPr>
                <w:sz w:val="24"/>
              </w:rPr>
              <w:t xml:space="preserve">144,687</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22</w:t>
            </w:r>
          </w:p>
        </w:tc>
        <w:tc>
          <w:tcPr>
            <w:tcW w:w="2776" w:type="dxa"/>
            <w:vAlign w:val="center"/>
            <w:vMerge w:val="restart"/>
          </w:tcPr>
          <w:p>
            <w:pPr>
              <w:pStyle w:val="0"/>
              <w:jc w:val="center"/>
            </w:pPr>
            <w:r>
              <w:rPr>
                <w:sz w:val="24"/>
              </w:rPr>
              <w:t xml:space="preserve">Капитальный ремонт гидротехнических сооружений инженерной защиты п. Агинское от затопления паводковыми водами реки Ага</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163347,22</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14139,97</w:t>
            </w:r>
          </w:p>
        </w:tc>
        <w:tc>
          <w:tcPr>
            <w:tcW w:w="1191" w:type="dxa"/>
            <w:vAlign w:val="center"/>
          </w:tcPr>
          <w:p>
            <w:pPr>
              <w:pStyle w:val="0"/>
              <w:jc w:val="center"/>
            </w:pPr>
            <w:r>
              <w:rPr>
                <w:sz w:val="24"/>
              </w:rPr>
              <w:t xml:space="preserve">9223,20</w:t>
            </w:r>
          </w:p>
        </w:tc>
        <w:tc>
          <w:tcPr>
            <w:tcW w:w="1191" w:type="dxa"/>
            <w:vAlign w:val="center"/>
          </w:tcPr>
          <w:p>
            <w:pPr>
              <w:pStyle w:val="0"/>
              <w:jc w:val="center"/>
            </w:pPr>
            <w:r>
              <w:rPr>
                <w:sz w:val="24"/>
              </w:rPr>
              <w:t xml:space="preserve">139984,05</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2025 - 2027</w:t>
            </w:r>
          </w:p>
        </w:tc>
        <w:tc>
          <w:tcPr>
            <w:tcW w:w="1020" w:type="dxa"/>
            <w:vAlign w:val="center"/>
            <w:vMerge w:val="restart"/>
          </w:tcPr>
          <w:p>
            <w:pPr>
              <w:pStyle w:val="0"/>
              <w:jc w:val="center"/>
            </w:pPr>
            <w:r>
              <w:rPr>
                <w:sz w:val="24"/>
              </w:rPr>
              <w:t xml:space="preserve">8,057</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150480,90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13092,20</w:t>
            </w:r>
          </w:p>
        </w:tc>
        <w:tc>
          <w:tcPr>
            <w:tcW w:w="1191" w:type="dxa"/>
            <w:vAlign w:val="center"/>
          </w:tcPr>
          <w:p>
            <w:pPr>
              <w:pStyle w:val="0"/>
              <w:jc w:val="center"/>
            </w:pPr>
            <w:r>
              <w:rPr>
                <w:sz w:val="24"/>
              </w:rPr>
              <w:t xml:space="preserve">8557,0</w:t>
            </w:r>
          </w:p>
        </w:tc>
        <w:tc>
          <w:tcPr>
            <w:tcW w:w="1191" w:type="dxa"/>
            <w:vAlign w:val="center"/>
          </w:tcPr>
          <w:p>
            <w:pPr>
              <w:pStyle w:val="0"/>
              <w:jc w:val="center"/>
            </w:pPr>
            <w:r>
              <w:rPr>
                <w:sz w:val="24"/>
              </w:rPr>
              <w:t xml:space="preserve">128831,70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9605,27</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835,77</w:t>
            </w:r>
          </w:p>
        </w:tc>
        <w:tc>
          <w:tcPr>
            <w:tcW w:w="1191" w:type="dxa"/>
            <w:vAlign w:val="center"/>
          </w:tcPr>
          <w:p>
            <w:pPr>
              <w:pStyle w:val="0"/>
              <w:jc w:val="center"/>
            </w:pPr>
            <w:r>
              <w:rPr>
                <w:sz w:val="24"/>
              </w:rPr>
              <w:t xml:space="preserve">546,20</w:t>
            </w:r>
          </w:p>
        </w:tc>
        <w:tc>
          <w:tcPr>
            <w:tcW w:w="1191" w:type="dxa"/>
            <w:vAlign w:val="center"/>
          </w:tcPr>
          <w:p>
            <w:pPr>
              <w:pStyle w:val="0"/>
              <w:jc w:val="center"/>
            </w:pPr>
            <w:r>
              <w:rPr>
                <w:sz w:val="24"/>
              </w:rPr>
              <w:t xml:space="preserve">8223,30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3261,05</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212,0</w:t>
            </w:r>
          </w:p>
        </w:tc>
        <w:tc>
          <w:tcPr>
            <w:tcW w:w="1191" w:type="dxa"/>
            <w:vAlign w:val="center"/>
          </w:tcPr>
          <w:p>
            <w:pPr>
              <w:pStyle w:val="0"/>
              <w:jc w:val="center"/>
            </w:pPr>
            <w:r>
              <w:rPr>
                <w:sz w:val="24"/>
              </w:rPr>
              <w:t xml:space="preserve">120,0</w:t>
            </w:r>
          </w:p>
        </w:tc>
        <w:tc>
          <w:tcPr>
            <w:tcW w:w="1191" w:type="dxa"/>
            <w:vAlign w:val="center"/>
          </w:tcPr>
          <w:p>
            <w:pPr>
              <w:pStyle w:val="0"/>
              <w:jc w:val="center"/>
            </w:pPr>
            <w:r>
              <w:rPr>
                <w:sz w:val="24"/>
              </w:rPr>
              <w:t xml:space="preserve">2929,05</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tcW w:w="460" w:type="dxa"/>
            <w:vAlign w:val="center"/>
            <w:vMerge w:val="restart"/>
          </w:tcPr>
          <w:p>
            <w:pPr>
              <w:pStyle w:val="0"/>
              <w:jc w:val="center"/>
            </w:pPr>
            <w:r>
              <w:rPr>
                <w:sz w:val="24"/>
              </w:rPr>
              <w:t xml:space="preserve">23</w:t>
            </w:r>
          </w:p>
        </w:tc>
        <w:tc>
          <w:tcPr>
            <w:tcW w:w="2776" w:type="dxa"/>
            <w:vAlign w:val="center"/>
            <w:vMerge w:val="restart"/>
          </w:tcPr>
          <w:p>
            <w:pPr>
              <w:pStyle w:val="0"/>
              <w:jc w:val="center"/>
            </w:pPr>
            <w:r>
              <w:rPr>
                <w:sz w:val="24"/>
              </w:rPr>
              <w:t xml:space="preserve">Капитальный ремонт дамбы в пгт. Усть-Карск Сретенского района Забайкальского края</w:t>
            </w:r>
          </w:p>
        </w:tc>
        <w:tc>
          <w:tcPr>
            <w:tcW w:w="1852"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1020" w:type="dxa"/>
            <w:vAlign w:val="center"/>
            <w:vMerge w:val="restart"/>
          </w:tcPr>
          <w:p>
            <w:pPr>
              <w:pStyle w:val="0"/>
              <w:jc w:val="center"/>
            </w:pPr>
            <w:r>
              <w:rPr>
                <w:sz w:val="24"/>
              </w:rPr>
              <w:t xml:space="preserve">2027 - 2028</w:t>
            </w:r>
          </w:p>
        </w:tc>
        <w:tc>
          <w:tcPr>
            <w:tcW w:w="1020" w:type="dxa"/>
            <w:vAlign w:val="center"/>
            <w:vMerge w:val="restart"/>
          </w:tcPr>
          <w:p>
            <w:pPr>
              <w:pStyle w:val="0"/>
              <w:jc w:val="center"/>
            </w:pPr>
            <w:r>
              <w:rPr>
                <w:sz w:val="24"/>
              </w:rPr>
              <w:t xml:space="preserve">6,664</w:t>
            </w:r>
          </w:p>
        </w:tc>
        <w:tc>
          <w:tcPr>
            <w:tcW w:w="737" w:type="dxa"/>
            <w:vAlign w:val="center"/>
            <w:vMerge w:val="restart"/>
          </w:tcPr>
          <w:p>
            <w:pPr>
              <w:pStyle w:val="0"/>
              <w:jc w:val="center"/>
            </w:pPr>
            <w:r>
              <w:rPr>
                <w:sz w:val="24"/>
              </w:rPr>
              <w:t xml:space="preserve">км</w:t>
            </w:r>
          </w:p>
        </w:tc>
      </w:tr>
      <w:tr>
        <w:tc>
          <w:tcPr>
            <w:vMerge w:val="continue"/>
          </w:tcPr>
          <w:p/>
        </w:tc>
        <w:tc>
          <w:tcPr>
            <w:vMerge w:val="continue"/>
          </w:tcPr>
          <w:p/>
        </w:tc>
        <w:tc>
          <w:tcPr>
            <w:tcW w:w="1852" w:type="dxa"/>
            <w:vAlign w:val="center"/>
          </w:tcPr>
          <w:p>
            <w:pPr>
              <w:pStyle w:val="0"/>
              <w:jc w:val="center"/>
            </w:pPr>
            <w:r>
              <w:rPr>
                <w:sz w:val="24"/>
              </w:rPr>
              <w:t xml:space="preserve">в том числе</w:t>
            </w:r>
          </w:p>
        </w:tc>
        <w:tc>
          <w:tcPr>
            <w:tcW w:w="1304" w:type="dxa"/>
            <w:vAlign w:val="center"/>
          </w:tcPr>
          <w:p>
            <w:pPr>
              <w:pStyle w:val="0"/>
            </w:pPr>
            <w:r>
              <w:rPr>
                <w:sz w:val="24"/>
              </w:rPr>
            </w:r>
          </w:p>
        </w:tc>
        <w:tc>
          <w:tcPr>
            <w:tcW w:w="1191" w:type="dxa"/>
            <w:vAlign w:val="center"/>
          </w:tcPr>
          <w:p>
            <w:pPr>
              <w:pStyle w:val="0"/>
            </w:pPr>
            <w:r>
              <w:rPr>
                <w:sz w:val="24"/>
              </w:rPr>
            </w:r>
          </w:p>
        </w:tc>
        <w:tc>
          <w:tcPr>
            <w:tcW w:w="1144" w:type="dxa"/>
            <w:vAlign w:val="center"/>
          </w:tcPr>
          <w:p>
            <w:pPr>
              <w:pStyle w:val="0"/>
            </w:pPr>
            <w:r>
              <w:rPr>
                <w:sz w:val="24"/>
              </w:rPr>
            </w:r>
          </w:p>
        </w:tc>
        <w:tc>
          <w:tcPr>
            <w:tcW w:w="1134"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191" w:type="dxa"/>
            <w:vAlign w:val="center"/>
          </w:tcPr>
          <w:p>
            <w:pPr>
              <w:pStyle w:val="0"/>
            </w:pPr>
            <w:r>
              <w:rPr>
                <w:sz w:val="24"/>
              </w:rPr>
            </w:r>
          </w:p>
        </w:tc>
        <w:tc>
          <w:tcPr>
            <w:tcW w:w="1247"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tcW w:w="785" w:type="dxa"/>
            <w:vAlign w:val="center"/>
          </w:tcPr>
          <w:p>
            <w:pPr>
              <w:pStyle w:val="0"/>
            </w:pPr>
            <w:r>
              <w:rPr>
                <w:sz w:val="24"/>
              </w:rPr>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федерального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краевого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r>
        <w:tc>
          <w:tcPr>
            <w:vMerge w:val="continue"/>
          </w:tcPr>
          <w:p/>
        </w:tc>
        <w:tc>
          <w:tcPr>
            <w:vMerge w:val="continue"/>
          </w:tcPr>
          <w:p/>
        </w:tc>
        <w:tc>
          <w:tcPr>
            <w:tcW w:w="1852" w:type="dxa"/>
            <w:vAlign w:val="center"/>
          </w:tcPr>
          <w:p>
            <w:pPr>
              <w:pStyle w:val="0"/>
              <w:jc w:val="center"/>
            </w:pPr>
            <w:r>
              <w:rPr>
                <w:sz w:val="24"/>
              </w:rPr>
              <w:t xml:space="preserve">средства местного бюджета</w:t>
            </w:r>
          </w:p>
        </w:tc>
        <w:tc>
          <w:tcPr>
            <w:tcW w:w="130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44" w:type="dxa"/>
            <w:vAlign w:val="center"/>
          </w:tcPr>
          <w:p>
            <w:pPr>
              <w:pStyle w:val="0"/>
              <w:jc w:val="center"/>
            </w:pPr>
            <w:r>
              <w:rPr>
                <w:sz w:val="24"/>
              </w:rPr>
              <w:t xml:space="preserve">0,00</w:t>
            </w:r>
          </w:p>
        </w:tc>
        <w:tc>
          <w:tcPr>
            <w:tcW w:w="1134"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191" w:type="dxa"/>
            <w:vAlign w:val="center"/>
          </w:tcPr>
          <w:p>
            <w:pPr>
              <w:pStyle w:val="0"/>
              <w:jc w:val="center"/>
            </w:pPr>
            <w:r>
              <w:rPr>
                <w:sz w:val="24"/>
              </w:rPr>
              <w:t xml:space="preserve">0,00</w:t>
            </w:r>
          </w:p>
        </w:tc>
        <w:tc>
          <w:tcPr>
            <w:tcW w:w="1247"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tcW w:w="785" w:type="dxa"/>
            <w:vAlign w:val="center"/>
          </w:tcPr>
          <w:p>
            <w:pPr>
              <w:pStyle w:val="0"/>
              <w:jc w:val="center"/>
            </w:pPr>
            <w:r>
              <w:rPr>
                <w:sz w:val="24"/>
              </w:rPr>
              <w:t xml:space="preserve">0,00</w:t>
            </w:r>
          </w:p>
        </w:tc>
        <w:tc>
          <w:tcPr>
            <w:vMerge w:val="continue"/>
          </w:tcPr>
          <w:p/>
        </w:tc>
        <w:tc>
          <w:tcPr>
            <w:vMerge w:val="continue"/>
          </w:tcPr>
          <w:p/>
        </w:tc>
        <w:tc>
          <w:tcPr>
            <w:vMerge w:val="continue"/>
          </w:tcPr>
          <w:p/>
        </w:tc>
      </w:tr>
    </w:tbl>
    <w:p>
      <w:pPr>
        <w:sectPr>
          <w:headerReference w:type="default" r:id="rId41"/>
          <w:headerReference w:type="first" r:id="rId41"/>
          <w:footerReference w:type="default" r:id="rId42"/>
          <w:footerReference w:type="first" r:id="rId42"/>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Забайкальского края "Воспроизводство и</w:t>
      </w:r>
    </w:p>
    <w:p>
      <w:pPr>
        <w:pStyle w:val="0"/>
        <w:jc w:val="right"/>
      </w:pPr>
      <w:r>
        <w:rPr>
          <w:sz w:val="24"/>
        </w:rPr>
        <w:t xml:space="preserve">использование природных ресурсов"</w:t>
      </w:r>
    </w:p>
    <w:p>
      <w:pPr>
        <w:pStyle w:val="0"/>
        <w:jc w:val="both"/>
      </w:pPr>
      <w:r>
        <w:rPr>
          <w:sz w:val="24"/>
        </w:rPr>
      </w:r>
    </w:p>
    <w:bookmarkStart w:id="2191" w:name="P2191"/>
    <w:bookmarkEnd w:id="2191"/>
    <w:p>
      <w:pPr>
        <w:pStyle w:val="2"/>
        <w:jc w:val="center"/>
      </w:pPr>
      <w:r>
        <w:rPr>
          <w:sz w:val="24"/>
        </w:rPr>
        <w:t xml:space="preserve">ПОРЯДОК</w:t>
      </w:r>
    </w:p>
    <w:p>
      <w:pPr>
        <w:pStyle w:val="2"/>
        <w:jc w:val="center"/>
      </w:pPr>
      <w:r>
        <w:rPr>
          <w:sz w:val="24"/>
        </w:rPr>
        <w:t xml:space="preserve">ПРЕДОСТАВЛЕНИЯ И РАСПРЕДЕЛЕНИЯ СУБСИДИЙ ИЗ БЮДЖЕТА</w:t>
      </w:r>
    </w:p>
    <w:p>
      <w:pPr>
        <w:pStyle w:val="2"/>
        <w:jc w:val="center"/>
      </w:pPr>
      <w:r>
        <w:rPr>
          <w:sz w:val="24"/>
        </w:rPr>
        <w:t xml:space="preserve">ЗАБАЙКАЛЬСКОГО КРАЯ БЮДЖЕТАМ МУНИЦИПАЛЬНЫХ РАЙОНОВ,</w:t>
      </w:r>
    </w:p>
    <w:p>
      <w:pPr>
        <w:pStyle w:val="2"/>
        <w:jc w:val="center"/>
      </w:pPr>
      <w:r>
        <w:rPr>
          <w:sz w:val="24"/>
        </w:rPr>
        <w:t xml:space="preserve">МУНИЦИПАЛЬНЫХ И ГОРОДСКИХ ОКРУГОВ ЗАБАЙКАЛЬСКОГО КРАЯ</w:t>
      </w:r>
    </w:p>
    <w:p>
      <w:pPr>
        <w:pStyle w:val="2"/>
        <w:jc w:val="center"/>
      </w:pPr>
      <w:r>
        <w:rPr>
          <w:sz w:val="24"/>
        </w:rPr>
        <w:t xml:space="preserve">НА ФИНАНСОВОЕ ОБЕСПЕЧЕНИЕ МЕРОПРИЯТИЙ ГОСУДАРСТВЕННОЙ</w:t>
      </w:r>
    </w:p>
    <w:p>
      <w:pPr>
        <w:pStyle w:val="2"/>
        <w:jc w:val="center"/>
      </w:pPr>
      <w:r>
        <w:rPr>
          <w:sz w:val="24"/>
        </w:rPr>
        <w:t xml:space="preserve">ПРОГРАММЫ ЗАБАЙКАЛЬСКОГО КРАЯ "ВОСПРОИЗВОДСТВО</w:t>
      </w:r>
    </w:p>
    <w:p>
      <w:pPr>
        <w:pStyle w:val="2"/>
        <w:jc w:val="center"/>
      </w:pPr>
      <w:r>
        <w:rPr>
          <w:sz w:val="24"/>
        </w:rPr>
        <w:t xml:space="preserve">И ИСПОЛЬЗОВАНИЕ ПРИРОДНЫХ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3" w:tooltip="Постановление Правительства Забайкальского края от 23.01.2025 N 15 &quot;О внесении изменений в государственную программу Забайкальского края &quot;Воспроизводство и использование природных ресурсов&quot; {КонсультантПлюс}">
              <w:r>
                <w:rPr>
                  <w:sz w:val="24"/>
                  <w:color w:val="0000ff"/>
                </w:rPr>
                <w:t xml:space="preserve">Постановления</w:t>
              </w:r>
            </w:hyperlink>
            <w:r>
              <w:rPr>
                <w:sz w:val="24"/>
                <w:color w:val="392c69"/>
              </w:rPr>
              <w:t xml:space="preserve"> Правительства Забайкальского края</w:t>
            </w:r>
          </w:p>
          <w:p>
            <w:pPr>
              <w:pStyle w:val="0"/>
              <w:jc w:val="center"/>
            </w:pPr>
            <w:r>
              <w:rPr>
                <w:sz w:val="24"/>
                <w:color w:val="392c69"/>
              </w:rPr>
              <w:t xml:space="preserve">от 23.01.2025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устанавливает цели, условия и порядок предоставления и распределения субсидий из бюджета Забайкальского края бюджетам муниципальных районов, муниципальных и городских округов Забайкальского края на финансовое обеспечение мероприятий государственной </w:t>
      </w:r>
      <w:hyperlink w:history="0" r:id="rId44" w:tooltip="Постановление Правительства Забайкальского края от 28.10.2013 N 465 (ред. от 09.04.2024) &quot;Об утверждении государственной программы Забайкальского края &quot;Воспроизводство и использование природных ресурсов&quot; ------------ Недействующая редакция {КонсультантПлюс}">
        <w:r>
          <w:rPr>
            <w:sz w:val="24"/>
            <w:color w:val="0000ff"/>
          </w:rPr>
          <w:t xml:space="preserve">программы</w:t>
        </w:r>
      </w:hyperlink>
      <w:r>
        <w:rPr>
          <w:sz w:val="24"/>
        </w:rPr>
        <w:t xml:space="preserve"> Забайкальского края "Воспроизводство и использование природных ресурсов" (далее соответственно - субсидии, муниципальные образования, государственная программа), а также критерии отбора муниципальных образований для предоставления субсидий.</w:t>
      </w:r>
    </w:p>
    <w:bookmarkStart w:id="2203" w:name="P2203"/>
    <w:bookmarkEnd w:id="2203"/>
    <w:p>
      <w:pPr>
        <w:pStyle w:val="0"/>
        <w:spacing w:before="240" w:lineRule="auto"/>
        <w:ind w:firstLine="540"/>
        <w:jc w:val="both"/>
      </w:pPr>
      <w:r>
        <w:rPr>
          <w:sz w:val="24"/>
        </w:rPr>
        <w:t xml:space="preserve">2. Субсидии предоставляются Министерством природных ресурсов Забайкальского края (далее - Министерство) в целях софинансирования расходных обязательств муниципальных образований по решению вопросов местного значения, возникающих при реализации мероприятий государственной программы, по следующим направлениям расходов:</w:t>
      </w:r>
    </w:p>
    <w:p>
      <w:pPr>
        <w:pStyle w:val="0"/>
        <w:spacing w:before="240" w:lineRule="auto"/>
        <w:ind w:firstLine="540"/>
        <w:jc w:val="both"/>
      </w:pPr>
      <w:r>
        <w:rPr>
          <w:sz w:val="24"/>
        </w:rPr>
        <w:t xml:space="preserve">1) повышение эксплуатационной надежности и безопасности гидротехнических сооружений (далее - ГТС), находящихся в муниципальной собственности:</w:t>
      </w:r>
    </w:p>
    <w:p>
      <w:pPr>
        <w:pStyle w:val="0"/>
        <w:spacing w:before="240" w:lineRule="auto"/>
        <w:ind w:firstLine="540"/>
        <w:jc w:val="both"/>
      </w:pPr>
      <w:r>
        <w:rPr>
          <w:sz w:val="24"/>
        </w:rPr>
        <w:t xml:space="preserve">а) текущие работы по ремонту и безаварийной эксплуатации;</w:t>
      </w:r>
    </w:p>
    <w:p>
      <w:pPr>
        <w:pStyle w:val="0"/>
        <w:spacing w:before="240" w:lineRule="auto"/>
        <w:ind w:firstLine="540"/>
        <w:jc w:val="both"/>
      </w:pPr>
      <w:r>
        <w:rPr>
          <w:sz w:val="24"/>
        </w:rPr>
        <w:t xml:space="preserve">б) разработка деклараций безопасности;</w:t>
      </w:r>
    </w:p>
    <w:p>
      <w:pPr>
        <w:pStyle w:val="0"/>
        <w:spacing w:before="240" w:lineRule="auto"/>
        <w:ind w:firstLine="540"/>
        <w:jc w:val="both"/>
      </w:pPr>
      <w:r>
        <w:rPr>
          <w:sz w:val="24"/>
        </w:rPr>
        <w:t xml:space="preserve">в) разработка проектно-сметной документации на выполнение работ по капитальному ремонту;</w:t>
      </w:r>
    </w:p>
    <w:p>
      <w:pPr>
        <w:pStyle w:val="0"/>
        <w:spacing w:before="240" w:lineRule="auto"/>
        <w:ind w:firstLine="540"/>
        <w:jc w:val="both"/>
      </w:pPr>
      <w:r>
        <w:rPr>
          <w:sz w:val="24"/>
        </w:rPr>
        <w:t xml:space="preserve">г) капитальный ремонт (с софинансированием федерального бюджета);</w:t>
      </w:r>
    </w:p>
    <w:p>
      <w:pPr>
        <w:pStyle w:val="0"/>
        <w:spacing w:before="240" w:lineRule="auto"/>
        <w:ind w:firstLine="540"/>
        <w:jc w:val="both"/>
      </w:pPr>
      <w:r>
        <w:rPr>
          <w:sz w:val="24"/>
        </w:rPr>
        <w:t xml:space="preserve">2) мероприятия некапитального характера (восстановление береговой линии водных объектов).</w:t>
      </w:r>
    </w:p>
    <w:p>
      <w:pPr>
        <w:pStyle w:val="0"/>
        <w:spacing w:before="240" w:lineRule="auto"/>
        <w:ind w:firstLine="540"/>
        <w:jc w:val="both"/>
      </w:pPr>
      <w:r>
        <w:rPr>
          <w:sz w:val="24"/>
        </w:rPr>
        <w:t xml:space="preserve">3. Субсидии носят целевой характер и не могут быть использованы на другие цели.</w:t>
      </w:r>
    </w:p>
    <w:p>
      <w:pPr>
        <w:pStyle w:val="0"/>
        <w:spacing w:before="240" w:lineRule="auto"/>
        <w:ind w:firstLine="540"/>
        <w:jc w:val="both"/>
      </w:pPr>
      <w:r>
        <w:rPr>
          <w:sz w:val="24"/>
        </w:rPr>
        <w:t xml:space="preserve">Муниципальные образования несут ответственность за целевое использование субсидий, выделенных из бюджета Забайкальского края и федерального бюджета (межбюджетные трансферты, предоставляемые бюджету Забайкальского края из федерального бюджета - средства субсидии федерального бюджета на цели капитального ремонта гидротехнических сооружений), в соответствии с действующим законодательством.</w:t>
      </w:r>
    </w:p>
    <w:p>
      <w:pPr>
        <w:pStyle w:val="0"/>
        <w:spacing w:before="240" w:lineRule="auto"/>
        <w:ind w:firstLine="540"/>
        <w:jc w:val="both"/>
      </w:pPr>
      <w:r>
        <w:rPr>
          <w:sz w:val="24"/>
        </w:rPr>
        <w:t xml:space="preserve">4. Министерство предоставляет субсидии бюджетам муниципальных образований из бюджета Забайкальского края в пределах бюджетных ассигнований, предусмотренных законом Забайкальского края о бюджете Забайкальского края (в том числе в пределах бюджетных ассигнований, предусмотренных законом о федеральном бюджете, на цели капитального ремонта) на соответствующий финансовый год и плановый период, и лимитов бюджетных обязательств, доведенных до Министерства как главного распорядителя бюджетных средств субсидий на цели, указанные в </w:t>
      </w:r>
      <w:hyperlink w:history="0" w:anchor="P2203" w:tooltip="2. Субсидии предоставляются Министерством природных ресурсов Забайкальского края (далее - Министерство) в целях софинансирования расходных обязательств муниципальных образований по решению вопросов местного значения, возникающих при реализации мероприятий государственной программы, по следующим направлениям расходов:">
        <w:r>
          <w:rPr>
            <w:sz w:val="24"/>
            <w:color w:val="0000ff"/>
          </w:rPr>
          <w:t xml:space="preserve">пункте 2</w:t>
        </w:r>
      </w:hyperlink>
      <w:r>
        <w:rPr>
          <w:sz w:val="24"/>
        </w:rPr>
        <w:t xml:space="preserve"> настоящего Порядка.</w:t>
      </w:r>
    </w:p>
    <w:bookmarkStart w:id="2213" w:name="P2213"/>
    <w:bookmarkEnd w:id="2213"/>
    <w:p>
      <w:pPr>
        <w:pStyle w:val="0"/>
        <w:spacing w:before="240" w:lineRule="auto"/>
        <w:ind w:firstLine="540"/>
        <w:jc w:val="both"/>
      </w:pPr>
      <w:r>
        <w:rPr>
          <w:sz w:val="24"/>
        </w:rPr>
        <w:t xml:space="preserve">5. Условием предоставления субсидий является заключение между Министерством и муниципальным образованием соглашения о предоставлении субсидии (далее - Соглашение), предусматривающего обязательства муниципальных образований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w:t>
      </w:r>
    </w:p>
    <w:bookmarkStart w:id="2214" w:name="P2214"/>
    <w:bookmarkEnd w:id="2214"/>
    <w:p>
      <w:pPr>
        <w:pStyle w:val="0"/>
        <w:spacing w:before="240" w:lineRule="auto"/>
        <w:ind w:firstLine="540"/>
        <w:jc w:val="both"/>
      </w:pPr>
      <w:r>
        <w:rPr>
          <w:sz w:val="24"/>
        </w:rPr>
        <w:t xml:space="preserve">6. Критериями отбора муниципальных образований для предоставления субсидий являются:</w:t>
      </w:r>
    </w:p>
    <w:p>
      <w:pPr>
        <w:pStyle w:val="0"/>
        <w:spacing w:before="240" w:lineRule="auto"/>
        <w:ind w:firstLine="540"/>
        <w:jc w:val="both"/>
      </w:pPr>
      <w:r>
        <w:rPr>
          <w:sz w:val="24"/>
        </w:rPr>
        <w:t xml:space="preserve">1) наличие на территории муниципального образования водных объектов и (или) их участков, опасных с точки зрения негативного воздействия вод, и необходимость выполнения мероприятий на этих объектах и (или) их участках, подтвержденная актами комиссионного обследования;</w:t>
      </w:r>
    </w:p>
    <w:p>
      <w:pPr>
        <w:pStyle w:val="0"/>
        <w:spacing w:before="240" w:lineRule="auto"/>
        <w:ind w:firstLine="540"/>
        <w:jc w:val="both"/>
      </w:pPr>
      <w:r>
        <w:rPr>
          <w:sz w:val="24"/>
        </w:rPr>
        <w:t xml:space="preserve">2) наличие утвержденной муниципальной программы, предусматривающей реализацию мероприятий, соответствующих целям, задачам и целевым показателям государственной программы;</w:t>
      </w:r>
    </w:p>
    <w:p>
      <w:pPr>
        <w:pStyle w:val="0"/>
        <w:spacing w:before="240" w:lineRule="auto"/>
        <w:ind w:firstLine="540"/>
        <w:jc w:val="both"/>
      </w:pPr>
      <w:r>
        <w:rPr>
          <w:sz w:val="24"/>
        </w:rPr>
        <w:t xml:space="preserve">3) по мероприятиям, направленным на разработку проектно-сметной документации, разработку деклараций безопасности, - наличие расчетов начальной (максимальной) цены контракта реализации мероприятий, подтвержденных коммерческими предложениями (не менее 3 коммерческих предложений);</w:t>
      </w:r>
    </w:p>
    <w:p>
      <w:pPr>
        <w:pStyle w:val="0"/>
        <w:spacing w:before="240" w:lineRule="auto"/>
        <w:ind w:firstLine="540"/>
        <w:jc w:val="both"/>
      </w:pPr>
      <w:r>
        <w:rPr>
          <w:sz w:val="24"/>
        </w:rPr>
        <w:t xml:space="preserve">4) по мероприятиям, направленным на обеспечение безопасности гидротехнических сооружений, находящихся в муниципальной собственности (текущий ремонт), а также по мероприятиям некапитального характера (восстановление береговой линии водных объектов) - наличие сметных расчетов, имеющих положительное заключение о проверке сметной стоимости государственной экспертизы;</w:t>
      </w:r>
    </w:p>
    <w:p>
      <w:pPr>
        <w:pStyle w:val="0"/>
        <w:spacing w:before="240" w:lineRule="auto"/>
        <w:ind w:firstLine="540"/>
        <w:jc w:val="both"/>
      </w:pPr>
      <w:r>
        <w:rPr>
          <w:sz w:val="24"/>
        </w:rPr>
        <w:t xml:space="preserve">5) по мероприятиям, направленным на обеспечение безопасности гидротехнических сооружений, находящихся в муниципальной собственности (капитальный ремонт), - наличие разработанной проектно-сметной документации, имеющей положительное заключение ГАУ "Государственная экспертиза Забайкальского края" на проектную документацию и инженерные изыскания, заключение о достоверности определения сметной стоимости объекта капитального строительства, сметно-финансовый расчет и расчет стоимости мероприятия (рассчитанной в ценах соответствующих лет). При условии, что объект принят к финансированию Федеральным агентством водных ресурсов (далее - Росводресурсы);</w:t>
      </w:r>
    </w:p>
    <w:p>
      <w:pPr>
        <w:pStyle w:val="0"/>
        <w:spacing w:before="240" w:lineRule="auto"/>
        <w:ind w:firstLine="540"/>
        <w:jc w:val="both"/>
      </w:pPr>
      <w:r>
        <w:rPr>
          <w:sz w:val="24"/>
        </w:rPr>
        <w:t xml:space="preserve">6) наличие мероприятий в планах комплексного развития муниципального образования (при наличии).</w:t>
      </w:r>
    </w:p>
    <w:p>
      <w:pPr>
        <w:pStyle w:val="0"/>
        <w:spacing w:before="240" w:lineRule="auto"/>
        <w:ind w:firstLine="540"/>
        <w:jc w:val="both"/>
      </w:pPr>
      <w:r>
        <w:rPr>
          <w:sz w:val="24"/>
        </w:rPr>
        <w:t xml:space="preserve">7. Проверка соответствия муниципального образования критериям отбора, установленным </w:t>
      </w:r>
      <w:hyperlink w:history="0" w:anchor="P2214" w:tooltip="6. Критериями отбора муниципальных образований для предоставления субсидий являются:">
        <w:r>
          <w:rPr>
            <w:sz w:val="24"/>
            <w:color w:val="0000ff"/>
          </w:rPr>
          <w:t xml:space="preserve">пунктом 6</w:t>
        </w:r>
      </w:hyperlink>
      <w:r>
        <w:rPr>
          <w:sz w:val="24"/>
        </w:rPr>
        <w:t xml:space="preserve"> настоящего Порядка, осуществляется Министерством самостоятельно.</w:t>
      </w:r>
    </w:p>
    <w:bookmarkStart w:id="2222" w:name="P2222"/>
    <w:bookmarkEnd w:id="2222"/>
    <w:p>
      <w:pPr>
        <w:pStyle w:val="0"/>
        <w:spacing w:before="240" w:lineRule="auto"/>
        <w:ind w:firstLine="540"/>
        <w:jc w:val="both"/>
      </w:pPr>
      <w:r>
        <w:rPr>
          <w:sz w:val="24"/>
        </w:rPr>
        <w:t xml:space="preserve">8. Муниципальные образования для получения субсидий в очередном финансовом году в течение 30 рабочих дней со дня получения извещения о начале приема заявок представляют в Министерство следующие документы:</w:t>
      </w:r>
    </w:p>
    <w:p>
      <w:pPr>
        <w:pStyle w:val="0"/>
        <w:spacing w:before="240" w:lineRule="auto"/>
        <w:ind w:firstLine="540"/>
        <w:jc w:val="both"/>
      </w:pPr>
      <w:r>
        <w:rPr>
          <w:sz w:val="24"/>
        </w:rPr>
        <w:t xml:space="preserve">1) </w:t>
      </w:r>
      <w:hyperlink w:history="0" w:anchor="P2297" w:tooltip="ЗАЯВКА">
        <w:r>
          <w:rPr>
            <w:sz w:val="24"/>
            <w:color w:val="0000ff"/>
          </w:rPr>
          <w:t xml:space="preserve">заявку</w:t>
        </w:r>
      </w:hyperlink>
      <w:r>
        <w:rPr>
          <w:sz w:val="24"/>
        </w:rPr>
        <w:t xml:space="preserve"> на получение субсидии с указанием планируемых мероприятий, а также водных объектов и (или) их участков, в отношении которых планируется реализация мероприятий, по форме согласно приложению к настоящему Порядку;</w:t>
      </w:r>
    </w:p>
    <w:p>
      <w:pPr>
        <w:pStyle w:val="0"/>
        <w:spacing w:before="240" w:lineRule="auto"/>
        <w:ind w:firstLine="540"/>
        <w:jc w:val="both"/>
      </w:pPr>
      <w:r>
        <w:rPr>
          <w:sz w:val="24"/>
        </w:rPr>
        <w:t xml:space="preserve">2) выписку из муниципальной программы, подтверждающую включение мероприятия в муниципальную программу, заверенную в установленном порядке;</w:t>
      </w:r>
    </w:p>
    <w:p>
      <w:pPr>
        <w:pStyle w:val="0"/>
        <w:spacing w:before="240" w:lineRule="auto"/>
        <w:ind w:firstLine="540"/>
        <w:jc w:val="both"/>
      </w:pPr>
      <w:r>
        <w:rPr>
          <w:sz w:val="24"/>
        </w:rPr>
        <w:t xml:space="preserve">3) утвержденный акт комиссионного обследования с приложением фотоматериалов, обязательно подписанных для ориентира на местности;</w:t>
      </w:r>
    </w:p>
    <w:p>
      <w:pPr>
        <w:pStyle w:val="0"/>
        <w:spacing w:before="240" w:lineRule="auto"/>
        <w:ind w:firstLine="540"/>
        <w:jc w:val="both"/>
      </w:pPr>
      <w:r>
        <w:rPr>
          <w:sz w:val="24"/>
        </w:rPr>
        <w:t xml:space="preserve">4) по мероприятиям, направленным на разработку проектно-сметной документации, разработку деклараций безопасности, - расчеты начальной (максимальной) цены контракта реализации мероприятий, подтвержденные коммерческими предложениями (не менее 3);</w:t>
      </w:r>
    </w:p>
    <w:p>
      <w:pPr>
        <w:pStyle w:val="0"/>
        <w:spacing w:before="240" w:lineRule="auto"/>
        <w:ind w:firstLine="540"/>
        <w:jc w:val="both"/>
      </w:pPr>
      <w:r>
        <w:rPr>
          <w:sz w:val="24"/>
        </w:rPr>
        <w:t xml:space="preserve">5) по мероприятиям, направленным на обеспечение безопасности гидротехнических сооружений, находящихся в муниципальной собственности (текущий ремонт), а также по мероприятиям некапитального характера (восстановление береговой линии водных объектов) - утвержденные сметные расчеты, подтвержденные положительным заключением проверки сметной стоимости государственной экспертизы;</w:t>
      </w:r>
    </w:p>
    <w:p>
      <w:pPr>
        <w:pStyle w:val="0"/>
        <w:spacing w:before="240" w:lineRule="auto"/>
        <w:ind w:firstLine="540"/>
        <w:jc w:val="both"/>
      </w:pPr>
      <w:r>
        <w:rPr>
          <w:sz w:val="24"/>
        </w:rPr>
        <w:t xml:space="preserve">6) по мероприятиям, направленным на обеспечение безопасности гидротехнических сооружений, находящихся в муниципальной собственности (капитальный ремонт), - проектно-сметную документацию, имеющую положительное заключение ГАУ "Государственная экспертиза Забайкальского края" на проектную документацию и инженерные изыскания, заключение о достоверности определения сметной стоимости объекта капитального строительства, сметно-финансовый расчет и расчет стоимости мероприятия (рассчитанной в ценах соответствующих лет);</w:t>
      </w:r>
    </w:p>
    <w:p>
      <w:pPr>
        <w:pStyle w:val="0"/>
        <w:spacing w:before="240" w:lineRule="auto"/>
        <w:ind w:firstLine="540"/>
        <w:jc w:val="both"/>
      </w:pPr>
      <w:r>
        <w:rPr>
          <w:sz w:val="24"/>
        </w:rPr>
        <w:t xml:space="preserve">7) выписку из сводной бюджетной росписи бюджета муниципального образования, подтверждающую наличие в бюджете муниципального образования бюджетных ассигнований на реализацию мероприятий в текущем году;</w:t>
      </w:r>
    </w:p>
    <w:p>
      <w:pPr>
        <w:pStyle w:val="0"/>
        <w:spacing w:before="240" w:lineRule="auto"/>
        <w:ind w:firstLine="540"/>
        <w:jc w:val="both"/>
      </w:pPr>
      <w:r>
        <w:rPr>
          <w:sz w:val="24"/>
        </w:rPr>
        <w:t xml:space="preserve">8) документы, подтверждающие, что гидротехническое (инженерное) сооружение находится в муниципальной собственности.</w:t>
      </w:r>
    </w:p>
    <w:p>
      <w:pPr>
        <w:pStyle w:val="0"/>
        <w:spacing w:before="240" w:lineRule="auto"/>
        <w:ind w:firstLine="540"/>
        <w:jc w:val="both"/>
      </w:pPr>
      <w:r>
        <w:rPr>
          <w:sz w:val="24"/>
        </w:rPr>
        <w:t xml:space="preserve">9. Документы, указанные в </w:t>
      </w:r>
      <w:hyperlink w:history="0" w:anchor="P2222" w:tooltip="8. Муниципальные образования для получения субсидий в очередном финансовом году в течение 30 рабочих дней со дня получения извещения о начале приема заявок представляют в Министерство следующие документы:">
        <w:r>
          <w:rPr>
            <w:sz w:val="24"/>
            <w:color w:val="0000ff"/>
          </w:rPr>
          <w:t xml:space="preserve">пункте 8</w:t>
        </w:r>
      </w:hyperlink>
      <w:r>
        <w:rPr>
          <w:sz w:val="24"/>
        </w:rPr>
        <w:t xml:space="preserve"> настоящего Порядка (далее - документы), представляются на бумажном носителе в одном экземпляре в прошитом, пронумерованном виде, скрепляются печатью и подписью руководителя администрации муниципального образования или лица, действующего от его имени (с представлением документа, подтверждающего полномочия), и регистрируются в Министерстве в день их представления в государственной информационной системе Забайкальского края "Электронный документооборот в исполнительных органах Забайкальского края".</w:t>
      </w:r>
    </w:p>
    <w:p>
      <w:pPr>
        <w:pStyle w:val="0"/>
        <w:spacing w:before="240" w:lineRule="auto"/>
        <w:ind w:firstLine="540"/>
        <w:jc w:val="both"/>
      </w:pPr>
      <w:r>
        <w:rPr>
          <w:sz w:val="24"/>
        </w:rPr>
        <w:t xml:space="preserve">10. Министерство по результатам рассмотрения документов в течение 30 календарных дней со дня регистрации заявки принимает решение о предоставлении субсидий либо об отказе в предоставлении субсидий и направляет информацию соответствующим муниципальным образованиям.</w:t>
      </w:r>
    </w:p>
    <w:p>
      <w:pPr>
        <w:pStyle w:val="0"/>
        <w:spacing w:before="240" w:lineRule="auto"/>
        <w:ind w:firstLine="540"/>
        <w:jc w:val="both"/>
      </w:pPr>
      <w:r>
        <w:rPr>
          <w:sz w:val="24"/>
        </w:rPr>
        <w:t xml:space="preserve">11. Основаниями для отказа в предоставлении субсидий являются:</w:t>
      </w:r>
    </w:p>
    <w:p>
      <w:pPr>
        <w:pStyle w:val="0"/>
        <w:spacing w:before="240" w:lineRule="auto"/>
        <w:ind w:firstLine="540"/>
        <w:jc w:val="both"/>
      </w:pPr>
      <w:r>
        <w:rPr>
          <w:sz w:val="24"/>
        </w:rPr>
        <w:t xml:space="preserve">1) несоответствие муниципального образования критериям отбора, установленным </w:t>
      </w:r>
      <w:hyperlink w:history="0" w:anchor="P2214" w:tooltip="6. Критериями отбора муниципальных образований для предоставления субсидий являются:">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2) несоблюдение муниципальным образованием условий предоставления субсидии, установленных </w:t>
      </w:r>
      <w:hyperlink w:history="0" w:anchor="P2213" w:tooltip="5. Условием предоставления субсидий является заключение между Министерством и муниципальным образованием соглашения о предоставлении субсидии (далее - Соглашение), предусматривающего обязательства муниципальных образований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3) непредставление (представление не в полном объеме) документов.</w:t>
      </w:r>
    </w:p>
    <w:p>
      <w:pPr>
        <w:pStyle w:val="0"/>
        <w:spacing w:before="240" w:lineRule="auto"/>
        <w:ind w:firstLine="540"/>
        <w:jc w:val="both"/>
      </w:pPr>
      <w:r>
        <w:rPr>
          <w:sz w:val="24"/>
        </w:rPr>
        <w:t xml:space="preserve">После устранения обстоятельств, послуживших основаниями для отказа в предоставлении субсидии, муниципальное образование вправе обратиться повторно в Министерство для предоставления субсидии.</w:t>
      </w:r>
    </w:p>
    <w:p>
      <w:pPr>
        <w:pStyle w:val="0"/>
        <w:spacing w:before="240" w:lineRule="auto"/>
        <w:ind w:firstLine="540"/>
        <w:jc w:val="both"/>
      </w:pPr>
      <w:r>
        <w:rPr>
          <w:sz w:val="24"/>
        </w:rPr>
        <w:t xml:space="preserve">12. Распределение субсидий бюджетам муниципальных образований из бюджета Забайкальского края между муниципальными образованиями утверждается законом Забайкальского края о бюджете на очередной финансовый год и плановый период. Изменения в распределение объемов субсидий между муниципальными образованиями без внесения изменений в закон Забайкальского края о бюджете края на текущий финансовый год и плановый период утверждаются правовыми актами Правительства Забайкальского края в случаях, установленных </w:t>
      </w:r>
      <w:hyperlink w:history="0" r:id="rId45" w:tooltip="Закон Забайкальского края от 20.12.2011 N 608-ЗЗК (ред. от 11.11.2024) &quot;О межбюджетных отношениях в Забайкальском крае&quot; (принят Законодательным Собранием Забайкальского края 14.12.2011) (вместе с &quot;Методикой расчета и распределения дотаций на выравнивание бюджетной обеспеченности поселений, а также порядок определения критерия выравнивания финансовых возможностей городских поселений (включая городские округа)&quot;, &quot;Методикой расчета дифференцированных нормативов отчислений от акцизов на автомобильный и прямогон {КонсультантПлюс}">
        <w:r>
          <w:rPr>
            <w:sz w:val="24"/>
            <w:color w:val="0000ff"/>
          </w:rPr>
          <w:t xml:space="preserve">частью 3 статьи 13</w:t>
        </w:r>
      </w:hyperlink>
      <w:r>
        <w:rPr>
          <w:sz w:val="24"/>
        </w:rPr>
        <w:t xml:space="preserve"> Закона Забайкальского края от 20 декабря 2011 года N 608-ЗЗК "О межбюджетных отношениях в Забайкальском крае".</w:t>
      </w:r>
    </w:p>
    <w:p>
      <w:pPr>
        <w:pStyle w:val="0"/>
        <w:spacing w:before="240" w:lineRule="auto"/>
        <w:ind w:firstLine="540"/>
        <w:jc w:val="both"/>
      </w:pPr>
      <w:r>
        <w:rPr>
          <w:sz w:val="24"/>
        </w:rPr>
        <w:t xml:space="preserve">Распределение объема субсидий между муниципальными образованиями производится исходя из бюджетных ассигнований, предусмотренных в бюджете Забайкальского края на соответствующий финансовый год на реализацию мероприятий, при этом размер субсидии муниципальному образованию (S</w:t>
      </w:r>
      <w:r>
        <w:rPr>
          <w:sz w:val="24"/>
          <w:vertAlign w:val="subscript"/>
        </w:rPr>
        <w:t xml:space="preserve">i</w:t>
      </w:r>
      <w:r>
        <w:rPr>
          <w:sz w:val="24"/>
        </w:rPr>
        <w:t xml:space="preserve">) рассчитывается по формуле:</w:t>
      </w:r>
    </w:p>
    <w:p>
      <w:pPr>
        <w:pStyle w:val="0"/>
        <w:jc w:val="both"/>
      </w:pPr>
      <w:r>
        <w:rPr>
          <w:sz w:val="24"/>
        </w:rPr>
      </w:r>
    </w:p>
    <w:p>
      <w:pPr>
        <w:pStyle w:val="0"/>
        <w:jc w:val="center"/>
      </w:pPr>
      <w:r>
        <w:rPr>
          <w:position w:val="-35"/>
        </w:rPr>
        <w:drawing>
          <wp:inline distT="0" distB="0" distL="0" distR="0">
            <wp:extent cx="17259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7259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F</w:t>
      </w:r>
      <w:r>
        <w:rPr>
          <w:sz w:val="24"/>
          <w:vertAlign w:val="subscript"/>
        </w:rPr>
        <w:t xml:space="preserve">i</w:t>
      </w:r>
      <w:r>
        <w:rPr>
          <w:sz w:val="24"/>
        </w:rPr>
        <w:t xml:space="preserve"> - требуемый размер субсидий i-му муниципальному образованию в текущем году;</w:t>
      </w:r>
    </w:p>
    <w:p>
      <w:pPr>
        <w:pStyle w:val="0"/>
        <w:spacing w:before="240" w:lineRule="auto"/>
        <w:ind w:firstLine="540"/>
        <w:jc w:val="both"/>
      </w:pPr>
      <w:r>
        <w:rPr>
          <w:sz w:val="24"/>
        </w:rPr>
        <w:t xml:space="preserve">C</w:t>
      </w:r>
      <w:r>
        <w:rPr>
          <w:sz w:val="24"/>
          <w:vertAlign w:val="subscript"/>
        </w:rPr>
        <w:t xml:space="preserve">R</w:t>
      </w:r>
      <w:r>
        <w:rPr>
          <w:sz w:val="24"/>
        </w:rPr>
        <w:t xml:space="preserve"> - объем средств, предусмотренный в бюджете Забайкальского края на соответствующий финансовый год на реализацию мероприятия, распределяемый между муниципальными образованиями.</w:t>
      </w:r>
    </w:p>
    <w:p>
      <w:pPr>
        <w:pStyle w:val="0"/>
        <w:spacing w:before="240" w:lineRule="auto"/>
        <w:ind w:firstLine="540"/>
        <w:jc w:val="both"/>
      </w:pPr>
      <w:r>
        <w:rPr>
          <w:sz w:val="24"/>
        </w:rPr>
        <w:t xml:space="preserve">Требуемый размер субсидий i-му муниципальному образованию в текущем году (F</w:t>
      </w:r>
      <w:r>
        <w:rPr>
          <w:sz w:val="24"/>
          <w:vertAlign w:val="subscript"/>
        </w:rPr>
        <w:t xml:space="preserve">i</w:t>
      </w:r>
      <w:r>
        <w:rPr>
          <w:sz w:val="24"/>
        </w:rPr>
        <w:t xml:space="preserve">) рассчитывается по формуле:</w:t>
      </w:r>
    </w:p>
    <w:p>
      <w:pPr>
        <w:pStyle w:val="0"/>
        <w:jc w:val="both"/>
      </w:pPr>
      <w:r>
        <w:rPr>
          <w:sz w:val="24"/>
        </w:rPr>
      </w:r>
    </w:p>
    <w:p>
      <w:pPr>
        <w:pStyle w:val="0"/>
        <w:jc w:val="center"/>
      </w:pPr>
      <w:r>
        <w:rPr>
          <w:position w:val="-12"/>
        </w:rPr>
        <w:drawing>
          <wp:inline distT="0" distB="0" distL="0" distR="0">
            <wp:extent cx="12001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20015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N</w:t>
      </w:r>
      <w:r>
        <w:rPr>
          <w:sz w:val="24"/>
          <w:vertAlign w:val="subscript"/>
        </w:rPr>
        <w:t xml:space="preserve">i</w:t>
      </w:r>
      <w:r>
        <w:rPr>
          <w:sz w:val="24"/>
        </w:rPr>
        <w:t xml:space="preserve"> - стоимость мероприятия по каждому объекту, определяемая в соответствии с коммерческими предложениями, проектно-сметной документацией, сметным расчетом.</w:t>
      </w:r>
    </w:p>
    <w:p>
      <w:pPr>
        <w:pStyle w:val="0"/>
        <w:spacing w:before="240" w:lineRule="auto"/>
        <w:ind w:firstLine="540"/>
        <w:jc w:val="both"/>
      </w:pPr>
      <w:r>
        <w:rPr>
          <w:sz w:val="24"/>
        </w:rPr>
        <w:t xml:space="preserve">Объем субсидии на цели капитального ремонта определяется в соответствии с доведенными лимитами федерального бюджета с учетом уровня софинансирования для Забайкальского края и муниципального образования. Размер предельного уровня софинансирования расходного обязательства для Забайкальского края ежегодно утверждается распоряжением Правительства Российской Федерации, для муниципального образования - приказом Министерства финансов Забайкальского края.</w:t>
      </w:r>
    </w:p>
    <w:p>
      <w:pPr>
        <w:pStyle w:val="0"/>
        <w:spacing w:before="240" w:lineRule="auto"/>
        <w:ind w:firstLine="540"/>
        <w:jc w:val="both"/>
      </w:pPr>
      <w:r>
        <w:rPr>
          <w:sz w:val="24"/>
        </w:rPr>
        <w:t xml:space="preserve">13. Размер субсидий местным бюджетам определяется:</w:t>
      </w:r>
    </w:p>
    <w:p>
      <w:pPr>
        <w:pStyle w:val="0"/>
        <w:spacing w:before="240" w:lineRule="auto"/>
        <w:ind w:firstLine="540"/>
        <w:jc w:val="both"/>
      </w:pPr>
      <w:r>
        <w:rPr>
          <w:sz w:val="24"/>
        </w:rPr>
        <w:t xml:space="preserve">1) по мероприятиям, направленным на разработку проектно-сметной документации, разработку деклараций безопасности, - на основании представленных расчетов начальной (максимальной) цены контракта, подтвержденных коммерческими предложениями (не менее 3 коммерческих предложений);</w:t>
      </w:r>
    </w:p>
    <w:p>
      <w:pPr>
        <w:pStyle w:val="0"/>
        <w:spacing w:before="240" w:lineRule="auto"/>
        <w:ind w:firstLine="540"/>
        <w:jc w:val="both"/>
      </w:pPr>
      <w:r>
        <w:rPr>
          <w:sz w:val="24"/>
        </w:rPr>
        <w:t xml:space="preserve">2) по мероприятиям, направленным на обеспечение безопасности гидротехнических сооружений, находящихся в муниципальной собственности (текущие работы по ремонту и безаварийной эксплуатации), а также по мероприятиям некапитального характера (восстановление береговой линии водных объектов) - на основании представленных сметных расчетов, подтвержденных положительным заключением проверки сметной стоимости государственной экспертизы;</w:t>
      </w:r>
    </w:p>
    <w:p>
      <w:pPr>
        <w:pStyle w:val="0"/>
        <w:spacing w:before="240" w:lineRule="auto"/>
        <w:ind w:firstLine="540"/>
        <w:jc w:val="both"/>
      </w:pPr>
      <w:r>
        <w:rPr>
          <w:sz w:val="24"/>
        </w:rPr>
        <w:t xml:space="preserve">3) по мероприятиям, направленным на обеспечение безопасности гидротехнических сооружений, находящихся в муниципальной собственности (капитальный ремонт), - на основании проектно-сметной документации, имеющей положительное заключение ГАУ "Государственная экспертиза Забайкальского края" на проектную документацию и инженерные изыскания, заключения о достоверности определения сметной стоимости объекта капитального строительства, сметно-финансового расчета и расчета стоимости мероприятия (рассчитанной в ценах соответствующих лет).</w:t>
      </w:r>
    </w:p>
    <w:p>
      <w:pPr>
        <w:pStyle w:val="0"/>
        <w:spacing w:before="240" w:lineRule="auto"/>
        <w:ind w:firstLine="540"/>
        <w:jc w:val="both"/>
      </w:pPr>
      <w:r>
        <w:rPr>
          <w:sz w:val="24"/>
        </w:rPr>
        <w:t xml:space="preserve">Размер предельного уровня софинансирования Забайкальским краем объема расходного обязательства муниципального образования составляет не более 99%.</w:t>
      </w:r>
    </w:p>
    <w:p>
      <w:pPr>
        <w:pStyle w:val="0"/>
        <w:spacing w:before="240" w:lineRule="auto"/>
        <w:ind w:firstLine="540"/>
        <w:jc w:val="both"/>
      </w:pPr>
      <w:r>
        <w:rPr>
          <w:sz w:val="24"/>
        </w:rPr>
        <w:t xml:space="preserve">14. Предоставление субсидии осуществляется на основании соглашения, заключаемого между Министерством и муниципальными образованиями в соответствии с типовой формой, утвержденной Министерством финансов Забайкальского края, в программном комплексе "Бюджет-Смарт Про", являющемся подсистемой государственной информационной системы "Автоматизированная система управления государственными финансами Забайкальского края", или с использованием государственной интегрированной информационной системы управления общественными финансами "Электронный бюджет" (при софинансировании из федерального бюджета) в соответствии с действующим законодательством.</w:t>
      </w:r>
    </w:p>
    <w:p>
      <w:pPr>
        <w:pStyle w:val="0"/>
        <w:spacing w:before="240" w:lineRule="auto"/>
        <w:ind w:firstLine="540"/>
        <w:jc w:val="both"/>
      </w:pPr>
      <w:r>
        <w:rPr>
          <w:sz w:val="24"/>
        </w:rPr>
        <w:t xml:space="preserve">Заключение соглашений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на текущий финансовый год и плановый период, которые заключаются не позднее 30 рабочих дней после дня вступления в силу указанного закона Забайкальского края.</w:t>
      </w:r>
    </w:p>
    <w:p>
      <w:pPr>
        <w:pStyle w:val="0"/>
        <w:spacing w:before="240" w:lineRule="auto"/>
        <w:ind w:firstLine="540"/>
        <w:jc w:val="both"/>
      </w:pPr>
      <w:r>
        <w:rPr>
          <w:sz w:val="24"/>
        </w:rPr>
        <w:t xml:space="preserve">Соглашение в целях софинансирования из бюджета Забайкальского края расходных обязательств муниципальных образований, связанных с реализацией государственной программы, заключается на срок реализации мероприятий по софинансированию расходных обязательств муниципальных образований в рамках государственной программы.</w:t>
      </w:r>
    </w:p>
    <w:p>
      <w:pPr>
        <w:pStyle w:val="0"/>
        <w:spacing w:before="240" w:lineRule="auto"/>
        <w:ind w:firstLine="540"/>
        <w:jc w:val="both"/>
      </w:pPr>
      <w:r>
        <w:rPr>
          <w:sz w:val="24"/>
        </w:rPr>
        <w:t xml:space="preserve">15. Муниципальные образования уведомляют Министерство о завершении проведения конкурсных процедур и направляют в адрес Министерства заверенные в установленном порядке копии заключенных муниципальных контрактов (договоров и дополнительных соглашений к ним) на закупку товаров, работ, услуг в целях выполнения мероприятий, реализуемых в рамках предоставления субсидии не позднее 3-го рабочего дня с момента заключения соответствующих контрактов, договоров (дополнительных соглашений к ним).</w:t>
      </w:r>
    </w:p>
    <w:p>
      <w:pPr>
        <w:pStyle w:val="0"/>
        <w:spacing w:before="240" w:lineRule="auto"/>
        <w:ind w:firstLine="540"/>
        <w:jc w:val="both"/>
      </w:pPr>
      <w:r>
        <w:rPr>
          <w:sz w:val="24"/>
        </w:rPr>
        <w:t xml:space="preserve">16. В случае внесения изменений в проектно-сметную документацию, сметные расчеты по мероприятиям, реализуемым в рамках предоставления субсидии муниципальному образованию, предоставить в адрес Министерства копию положительного заключения государственной экспертизы (заключения о проверке сметной стоимости) не позднее 3-го рабочего дня с момента получения соответствующего заключения.</w:t>
      </w:r>
    </w:p>
    <w:p>
      <w:pPr>
        <w:pStyle w:val="0"/>
        <w:spacing w:before="240" w:lineRule="auto"/>
        <w:ind w:firstLine="540"/>
        <w:jc w:val="both"/>
      </w:pPr>
      <w:r>
        <w:rPr>
          <w:sz w:val="24"/>
        </w:rPr>
        <w:t xml:space="preserve">17. Муниципальные образования направляют в адрес Министерства заявку на финансирование с приложением документов, подтверждающих выполненные работы (формы КС-2, КС-3, универсальный передаточный документ - по мере закрытия). На основании заявки на финансирование Министерство направляет в Министерство финансов Забайкальского края предложения в кассовый план на очередной месяц в сроки, установленные Министерством финансов Забайкальского края.</w:t>
      </w:r>
    </w:p>
    <w:p>
      <w:pPr>
        <w:pStyle w:val="0"/>
        <w:spacing w:before="240" w:lineRule="auto"/>
        <w:ind w:firstLine="540"/>
        <w:jc w:val="both"/>
      </w:pPr>
      <w:r>
        <w:rPr>
          <w:sz w:val="24"/>
        </w:rPr>
        <w:t xml:space="preserve">В случае отсутствия подтверждающих документов заявка не принимается и возвращается на доработку.</w:t>
      </w:r>
    </w:p>
    <w:p>
      <w:pPr>
        <w:pStyle w:val="0"/>
        <w:spacing w:before="240" w:lineRule="auto"/>
        <w:ind w:firstLine="540"/>
        <w:jc w:val="both"/>
      </w:pPr>
      <w:r>
        <w:rPr>
          <w:sz w:val="24"/>
        </w:rPr>
        <w:t xml:space="preserve">После согласования кассового плана Министерство в течение 5 рабочих дней направляет заявку на финансирование в Министерство финансов Забайкальского края.</w:t>
      </w:r>
    </w:p>
    <w:p>
      <w:pPr>
        <w:pStyle w:val="0"/>
        <w:spacing w:before="240" w:lineRule="auto"/>
        <w:ind w:firstLine="540"/>
        <w:jc w:val="both"/>
      </w:pPr>
      <w:r>
        <w:rPr>
          <w:sz w:val="24"/>
        </w:rPr>
        <w:t xml:space="preserve">По мероприятиям на цели капитального ремонта дополнительно направляется заявка на включение в прогноз кассовых выплат по расходам федерального бюджета до 23-го числа месяца, предшествующего месяцу финансирования.</w:t>
      </w:r>
    </w:p>
    <w:p>
      <w:pPr>
        <w:pStyle w:val="0"/>
        <w:spacing w:before="240" w:lineRule="auto"/>
        <w:ind w:firstLine="540"/>
        <w:jc w:val="both"/>
      </w:pPr>
      <w:r>
        <w:rPr>
          <w:sz w:val="24"/>
        </w:rPr>
        <w:t xml:space="preserve">18. Министерство финансов Забайкальского края после получения заявки на финансирование в установленном порядке перечисляет субсидии на счет Министерства в соответствии с утвержденным кассовым планом.</w:t>
      </w:r>
    </w:p>
    <w:p>
      <w:pPr>
        <w:pStyle w:val="0"/>
        <w:spacing w:before="240" w:lineRule="auto"/>
        <w:ind w:firstLine="540"/>
        <w:jc w:val="both"/>
      </w:pPr>
      <w:r>
        <w:rPr>
          <w:sz w:val="24"/>
        </w:rPr>
        <w:t xml:space="preserve">19. Перечисление субсидий из бюджета Забайкальского края осуществляется Министерством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Забайкальскому краю, в течение 5 рабочих дней со дня поступления субсидий на лицевой счет Министерства.</w:t>
      </w:r>
    </w:p>
    <w:p>
      <w:pPr>
        <w:pStyle w:val="0"/>
        <w:spacing w:before="240" w:lineRule="auto"/>
        <w:ind w:firstLine="540"/>
        <w:jc w:val="both"/>
      </w:pPr>
      <w:r>
        <w:rPr>
          <w:sz w:val="24"/>
        </w:rPr>
        <w:t xml:space="preserve">20. Муниципальные образования ежемесячно не позднее 10-го числа месяца, следующего за отчетным месяцем, в котором была получена субсидия, по итогам года не позднее 15-го января представляют в Министерство отчет о расходах, отчет о достижении значений показателей результатов использования субсидий, отчет об исполнении графика выполнения работ по форме, установленной соглашением.</w:t>
      </w:r>
    </w:p>
    <w:p>
      <w:pPr>
        <w:pStyle w:val="0"/>
        <w:spacing w:before="240" w:lineRule="auto"/>
        <w:ind w:firstLine="540"/>
        <w:jc w:val="both"/>
      </w:pPr>
      <w:r>
        <w:rPr>
          <w:sz w:val="24"/>
        </w:rPr>
        <w:t xml:space="preserve">По мероприятиям на цели капитального ремонта перечень отчетов, форма и сроки устанавливаются соглашением.</w:t>
      </w:r>
    </w:p>
    <w:p>
      <w:pPr>
        <w:pStyle w:val="0"/>
        <w:spacing w:before="240" w:lineRule="auto"/>
        <w:ind w:firstLine="540"/>
        <w:jc w:val="both"/>
      </w:pPr>
      <w:r>
        <w:rPr>
          <w:sz w:val="24"/>
        </w:rPr>
        <w:t xml:space="preserve">21. Ответственность за достоверность представляемых в Министерство в соответствии с настоящим Порядком сведений, а также за соблюдение порядка предоставления субсидий возлагается на муниципальные образования.</w:t>
      </w:r>
    </w:p>
    <w:p>
      <w:pPr>
        <w:pStyle w:val="0"/>
        <w:spacing w:before="240" w:lineRule="auto"/>
        <w:ind w:firstLine="540"/>
        <w:jc w:val="both"/>
      </w:pPr>
      <w:r>
        <w:rPr>
          <w:sz w:val="24"/>
        </w:rPr>
        <w:t xml:space="preserve">22. Результатами использования субсидий являются:</w:t>
      </w:r>
    </w:p>
    <w:p>
      <w:pPr>
        <w:pStyle w:val="0"/>
        <w:spacing w:before="240" w:lineRule="auto"/>
        <w:ind w:firstLine="540"/>
        <w:jc w:val="both"/>
      </w:pPr>
      <w:r>
        <w:rPr>
          <w:sz w:val="24"/>
        </w:rPr>
        <w:t xml:space="preserve">1) протяженность восстановленной береговой линии;</w:t>
      </w:r>
    </w:p>
    <w:p>
      <w:pPr>
        <w:pStyle w:val="0"/>
        <w:spacing w:before="240" w:lineRule="auto"/>
        <w:ind w:firstLine="540"/>
        <w:jc w:val="both"/>
      </w:pPr>
      <w:r>
        <w:rPr>
          <w:sz w:val="24"/>
        </w:rPr>
        <w:t xml:space="preserve">2) протяженность отремонтированных гидротехнических сооружений;</w:t>
      </w:r>
    </w:p>
    <w:p>
      <w:pPr>
        <w:pStyle w:val="0"/>
        <w:spacing w:before="240" w:lineRule="auto"/>
        <w:ind w:firstLine="540"/>
        <w:jc w:val="both"/>
      </w:pPr>
      <w:r>
        <w:rPr>
          <w:sz w:val="24"/>
        </w:rPr>
        <w:t xml:space="preserve">3) количество гидротехнических сооружений, приведенных в безопасное техническое состояние в результате проведения капитального ремонта;</w:t>
      </w:r>
    </w:p>
    <w:p>
      <w:pPr>
        <w:pStyle w:val="0"/>
        <w:spacing w:before="240" w:lineRule="auto"/>
        <w:ind w:firstLine="540"/>
        <w:jc w:val="both"/>
      </w:pPr>
      <w:r>
        <w:rPr>
          <w:sz w:val="24"/>
        </w:rPr>
        <w:t xml:space="preserve">4) количество объектов, на которые разработана проектно-сметная документация;</w:t>
      </w:r>
    </w:p>
    <w:p>
      <w:pPr>
        <w:pStyle w:val="0"/>
        <w:spacing w:before="240" w:lineRule="auto"/>
        <w:ind w:firstLine="540"/>
        <w:jc w:val="both"/>
      </w:pPr>
      <w:r>
        <w:rPr>
          <w:sz w:val="24"/>
        </w:rPr>
        <w:t xml:space="preserve">5) количество гидротехнических сооружений, приведенных в безопасное техническое состояние в результате проведения текущего ремонта;</w:t>
      </w:r>
    </w:p>
    <w:p>
      <w:pPr>
        <w:pStyle w:val="0"/>
        <w:spacing w:before="240" w:lineRule="auto"/>
        <w:ind w:firstLine="540"/>
        <w:jc w:val="both"/>
      </w:pPr>
      <w:r>
        <w:rPr>
          <w:sz w:val="24"/>
        </w:rPr>
        <w:t xml:space="preserve">6) количество гидротехнических сооружений, на которые разработаны декларации безопасности.</w:t>
      </w:r>
    </w:p>
    <w:p>
      <w:pPr>
        <w:pStyle w:val="0"/>
        <w:spacing w:before="240" w:lineRule="auto"/>
        <w:ind w:firstLine="540"/>
        <w:jc w:val="both"/>
      </w:pPr>
      <w:r>
        <w:rPr>
          <w:sz w:val="24"/>
        </w:rPr>
        <w:t xml:space="preserve">Значения показателей результатов использования субсидий для каждого муниципального образования устанавливаются в соглашении, при этом результат использования субсидии в государственной программе Забайкальского края обозначен как количество реализованных мероприятий по повышению эксплуатационной надежности и безопасности ГТС и мероприятий некапитального характера, штук. По мероприятиям капитального ремонта результат использования субсидии в государственной программе Забайкальского края обозначен как количество гидротехнических сооружений, приведенных в безопасное техническое состояние в результате проведения капитального ремонта, единиц.</w:t>
      </w:r>
    </w:p>
    <w:p>
      <w:pPr>
        <w:pStyle w:val="0"/>
        <w:spacing w:before="240" w:lineRule="auto"/>
        <w:ind w:firstLine="540"/>
        <w:jc w:val="both"/>
      </w:pPr>
      <w:r>
        <w:rPr>
          <w:sz w:val="24"/>
        </w:rPr>
        <w:t xml:space="preserve">23. Оценка эффективности использования субсидии производится путем сравнения фактически достигнутого значения показателя результата использования субсидии за соответствующий год с плановым значением показателя результата использования субсидии, установленным в соглашении.</w:t>
      </w:r>
    </w:p>
    <w:p>
      <w:pPr>
        <w:pStyle w:val="0"/>
        <w:spacing w:before="240" w:lineRule="auto"/>
        <w:ind w:firstLine="540"/>
        <w:jc w:val="both"/>
      </w:pPr>
      <w:r>
        <w:rPr>
          <w:sz w:val="24"/>
        </w:rPr>
        <w:t xml:space="preserve">24. Не использованные в текущем финансовом году средства субсидии подлежат возврату в доход бюджета Забайкальского края в течение первых 15 рабочих дней следующего года.</w:t>
      </w:r>
    </w:p>
    <w:p>
      <w:pPr>
        <w:pStyle w:val="0"/>
        <w:spacing w:before="240" w:lineRule="auto"/>
        <w:ind w:firstLine="540"/>
        <w:jc w:val="both"/>
      </w:pPr>
      <w:r>
        <w:rPr>
          <w:sz w:val="24"/>
        </w:rPr>
        <w:t xml:space="preserve">Министерство принимает решение о наличии потребности в неиспользованных субсидиях в соответствии с </w:t>
      </w:r>
      <w:hyperlink w:history="0" r:id="rId48" w:tooltip="Постановление Правительства Забайкальского края от 27.04.2017 N 151 (ред. от 28.01.2021) &quot;Об утверждении Порядка принятия главными администраторами средств бюджета Забайкальского края решений 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отчетном финансовом году&quot; {КонсультантПлюс}">
        <w:r>
          <w:rPr>
            <w:sz w:val="24"/>
            <w:color w:val="0000ff"/>
          </w:rPr>
          <w:t xml:space="preserve">Порядком</w:t>
        </w:r>
      </w:hyperlink>
      <w:r>
        <w:rPr>
          <w:sz w:val="24"/>
        </w:rPr>
        <w:t xml:space="preserve"> принятия главными администраторами средств бюджета Забайкальского края решений 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отчетном финансовом году, утвержденным постановлением Правительства Забайкальского края от 27 апреля 2017 года N 151.</w:t>
      </w:r>
    </w:p>
    <w:p>
      <w:pPr>
        <w:pStyle w:val="0"/>
        <w:spacing w:before="240" w:lineRule="auto"/>
        <w:ind w:firstLine="540"/>
        <w:jc w:val="both"/>
      </w:pPr>
      <w:r>
        <w:rPr>
          <w:sz w:val="24"/>
        </w:rPr>
        <w:t xml:space="preserve">25. В случае если неиспользованный остаток средств субсидий не перечислен в доход бюджета Забайкальского края, указанные средства подлежат взысканию в доход бюджета Забайкальского края в соответствии с требованиями бюджетного законодательства.</w:t>
      </w:r>
    </w:p>
    <w:p>
      <w:pPr>
        <w:pStyle w:val="0"/>
        <w:spacing w:before="240" w:lineRule="auto"/>
        <w:ind w:firstLine="540"/>
        <w:jc w:val="both"/>
      </w:pPr>
      <w:r>
        <w:rPr>
          <w:sz w:val="24"/>
        </w:rPr>
        <w:t xml:space="preserve">26. Ответственность за нарушение обязательств, предусмотренных соглашением, а также порядок освобождения от применения указанных мер предусмотрены </w:t>
      </w:r>
      <w:hyperlink w:history="0" r:id="rId49" w:tooltip="Постановление Правительства Забайкальского края от 14.02.2017 N 29 (ред. от 17.04.2026) &quot;Об утверждении Правил формирования, предоставления и распределения субсидий из бюджета Забайкальского края местным бюджетам&quot; {КонсультантПлюс}">
        <w:r>
          <w:rPr>
            <w:sz w:val="24"/>
            <w:color w:val="0000ff"/>
          </w:rPr>
          <w:t xml:space="preserve">Правилами</w:t>
        </w:r>
      </w:hyperlink>
      <w:r>
        <w:rPr>
          <w:sz w:val="24"/>
        </w:rPr>
        <w:t xml:space="preserve"> предоставления и распределения субсидий из бюджета Забайкальского края местным бюджетам, утвержденными постановлением Правительства Забайкальского края от 14 февраля 2017 года N 29.</w:t>
      </w:r>
    </w:p>
    <w:p>
      <w:pPr>
        <w:pStyle w:val="0"/>
        <w:spacing w:before="240" w:lineRule="auto"/>
        <w:ind w:firstLine="540"/>
        <w:jc w:val="both"/>
      </w:pPr>
      <w:r>
        <w:rPr>
          <w:sz w:val="24"/>
        </w:rPr>
        <w:t xml:space="preserve">27. Контроль за соблюдением порядка предоставления субсидий, целевым использованием субсидий, достижением результата их использования осуществляется Министерством и соответствующими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Порядку предоставления и распределения субсидий из бюджета</w:t>
      </w:r>
    </w:p>
    <w:p>
      <w:pPr>
        <w:pStyle w:val="0"/>
        <w:jc w:val="right"/>
      </w:pPr>
      <w:r>
        <w:rPr>
          <w:sz w:val="24"/>
        </w:rPr>
        <w:t xml:space="preserve">Забайкальского края бюджетам муниципальных районов,</w:t>
      </w:r>
    </w:p>
    <w:p>
      <w:pPr>
        <w:pStyle w:val="0"/>
        <w:jc w:val="right"/>
      </w:pPr>
      <w:r>
        <w:rPr>
          <w:sz w:val="24"/>
        </w:rPr>
        <w:t xml:space="preserve">муниципальных и городских округов Забайкальского края</w:t>
      </w:r>
    </w:p>
    <w:p>
      <w:pPr>
        <w:pStyle w:val="0"/>
        <w:jc w:val="right"/>
      </w:pPr>
      <w:r>
        <w:rPr>
          <w:sz w:val="24"/>
        </w:rPr>
        <w:t xml:space="preserve">на финансовое обеспечение мероприятий государственной</w:t>
      </w:r>
    </w:p>
    <w:p>
      <w:pPr>
        <w:pStyle w:val="0"/>
        <w:jc w:val="right"/>
      </w:pPr>
      <w:r>
        <w:rPr>
          <w:sz w:val="24"/>
        </w:rPr>
        <w:t xml:space="preserve">программы Забайкальского края "Воспроизводство</w:t>
      </w:r>
    </w:p>
    <w:p>
      <w:pPr>
        <w:pStyle w:val="0"/>
        <w:jc w:val="right"/>
      </w:pPr>
      <w:r>
        <w:rPr>
          <w:sz w:val="24"/>
        </w:rPr>
        <w:t xml:space="preserve">и использование природных ресурсов"</w:t>
      </w:r>
    </w:p>
    <w:p>
      <w:pPr>
        <w:pStyle w:val="0"/>
        <w:jc w:val="both"/>
      </w:pPr>
      <w:r>
        <w:rPr>
          <w:sz w:val="24"/>
        </w:rPr>
      </w:r>
    </w:p>
    <w:bookmarkStart w:id="2297" w:name="P2297"/>
    <w:bookmarkEnd w:id="2297"/>
    <w:p>
      <w:pPr>
        <w:pStyle w:val="0"/>
        <w:jc w:val="center"/>
      </w:pPr>
      <w:r>
        <w:rPr>
          <w:sz w:val="24"/>
        </w:rPr>
        <w:t xml:space="preserve">ЗАЯВКА</w:t>
      </w:r>
    </w:p>
    <w:p>
      <w:pPr>
        <w:pStyle w:val="0"/>
        <w:jc w:val="center"/>
      </w:pPr>
      <w:r>
        <w:rPr>
          <w:sz w:val="24"/>
        </w:rPr>
        <w:t xml:space="preserve">на получение субсидии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952"/>
        <w:gridCol w:w="2607"/>
      </w:tblGrid>
      <w:tr>
        <w:tc>
          <w:tcPr>
            <w:tcW w:w="510" w:type="dxa"/>
          </w:tcPr>
          <w:p>
            <w:pPr>
              <w:pStyle w:val="0"/>
              <w:jc w:val="center"/>
            </w:pPr>
            <w:r>
              <w:rPr>
                <w:sz w:val="24"/>
              </w:rPr>
              <w:t xml:space="preserve">N п/п</w:t>
            </w:r>
          </w:p>
        </w:tc>
        <w:tc>
          <w:tcPr>
            <w:tcW w:w="5952" w:type="dxa"/>
            <w:vAlign w:val="center"/>
          </w:tcPr>
          <w:p>
            <w:pPr>
              <w:pStyle w:val="0"/>
              <w:jc w:val="center"/>
            </w:pPr>
            <w:r>
              <w:rPr>
                <w:sz w:val="24"/>
              </w:rPr>
              <w:t xml:space="preserve">Наименование</w:t>
            </w:r>
          </w:p>
        </w:tc>
        <w:tc>
          <w:tcPr>
            <w:tcW w:w="2607" w:type="dxa"/>
          </w:tcPr>
          <w:p>
            <w:pPr>
              <w:pStyle w:val="0"/>
              <w:jc w:val="center"/>
            </w:pPr>
            <w:r>
              <w:rPr>
                <w:sz w:val="24"/>
              </w:rPr>
              <w:t xml:space="preserve">Сведения об органе местного самоуправления муниципального образования Забайкальского края</w:t>
            </w:r>
          </w:p>
        </w:tc>
      </w:tr>
      <w:tr>
        <w:tc>
          <w:tcPr>
            <w:tcW w:w="510" w:type="dxa"/>
          </w:tcPr>
          <w:p>
            <w:pPr>
              <w:pStyle w:val="0"/>
              <w:jc w:val="center"/>
            </w:pPr>
            <w:r>
              <w:rPr>
                <w:sz w:val="24"/>
              </w:rPr>
              <w:t xml:space="preserve">1</w:t>
            </w:r>
          </w:p>
        </w:tc>
        <w:tc>
          <w:tcPr>
            <w:tcW w:w="5952" w:type="dxa"/>
          </w:tcPr>
          <w:p>
            <w:pPr>
              <w:pStyle w:val="0"/>
              <w:jc w:val="center"/>
            </w:pPr>
            <w:r>
              <w:rPr>
                <w:sz w:val="24"/>
              </w:rPr>
              <w:t xml:space="preserve">2</w:t>
            </w:r>
          </w:p>
        </w:tc>
        <w:tc>
          <w:tcPr>
            <w:tcW w:w="2607" w:type="dxa"/>
          </w:tcPr>
          <w:p>
            <w:pPr>
              <w:pStyle w:val="0"/>
              <w:jc w:val="center"/>
            </w:pPr>
            <w:r>
              <w:rPr>
                <w:sz w:val="24"/>
              </w:rPr>
              <w:t xml:space="preserve">3</w:t>
            </w:r>
          </w:p>
        </w:tc>
      </w:tr>
      <w:tr>
        <w:tc>
          <w:tcPr>
            <w:tcW w:w="510" w:type="dxa"/>
          </w:tcPr>
          <w:p>
            <w:pPr>
              <w:pStyle w:val="0"/>
              <w:jc w:val="center"/>
            </w:pPr>
            <w:r>
              <w:rPr>
                <w:sz w:val="24"/>
              </w:rPr>
              <w:t xml:space="preserve">1.</w:t>
            </w:r>
          </w:p>
        </w:tc>
        <w:tc>
          <w:tcPr>
            <w:tcW w:w="5952" w:type="dxa"/>
          </w:tcPr>
          <w:p>
            <w:pPr>
              <w:pStyle w:val="0"/>
              <w:jc w:val="both"/>
            </w:pPr>
            <w:r>
              <w:rPr>
                <w:sz w:val="24"/>
              </w:rPr>
              <w:t xml:space="preserve">Полное наименование</w:t>
            </w:r>
          </w:p>
        </w:tc>
        <w:tc>
          <w:tcPr>
            <w:tcW w:w="2607" w:type="dxa"/>
          </w:tcPr>
          <w:p>
            <w:pPr>
              <w:pStyle w:val="0"/>
            </w:pPr>
            <w:r>
              <w:rPr>
                <w:sz w:val="24"/>
              </w:rPr>
            </w:r>
          </w:p>
        </w:tc>
      </w:tr>
      <w:tr>
        <w:tc>
          <w:tcPr>
            <w:tcW w:w="510" w:type="dxa"/>
          </w:tcPr>
          <w:p>
            <w:pPr>
              <w:pStyle w:val="0"/>
              <w:jc w:val="center"/>
            </w:pPr>
            <w:r>
              <w:rPr>
                <w:sz w:val="24"/>
              </w:rPr>
              <w:t xml:space="preserve">2.</w:t>
            </w:r>
          </w:p>
        </w:tc>
        <w:tc>
          <w:tcPr>
            <w:tcW w:w="5952" w:type="dxa"/>
          </w:tcPr>
          <w:p>
            <w:pPr>
              <w:pStyle w:val="0"/>
              <w:jc w:val="both"/>
            </w:pPr>
            <w:r>
              <w:rPr>
                <w:sz w:val="24"/>
              </w:rPr>
              <w:t xml:space="preserve">Адрес места нахождения</w:t>
            </w:r>
          </w:p>
        </w:tc>
        <w:tc>
          <w:tcPr>
            <w:tcW w:w="2607" w:type="dxa"/>
          </w:tcPr>
          <w:p>
            <w:pPr>
              <w:pStyle w:val="0"/>
            </w:pPr>
            <w:r>
              <w:rPr>
                <w:sz w:val="24"/>
              </w:rPr>
            </w:r>
          </w:p>
        </w:tc>
      </w:tr>
      <w:tr>
        <w:tc>
          <w:tcPr>
            <w:tcW w:w="510" w:type="dxa"/>
          </w:tcPr>
          <w:p>
            <w:pPr>
              <w:pStyle w:val="0"/>
              <w:jc w:val="center"/>
            </w:pPr>
            <w:r>
              <w:rPr>
                <w:sz w:val="24"/>
              </w:rPr>
              <w:t xml:space="preserve">3.</w:t>
            </w:r>
          </w:p>
        </w:tc>
        <w:tc>
          <w:tcPr>
            <w:tcW w:w="5952" w:type="dxa"/>
          </w:tcPr>
          <w:p>
            <w:pPr>
              <w:pStyle w:val="0"/>
              <w:jc w:val="both"/>
            </w:pPr>
            <w:r>
              <w:rPr>
                <w:sz w:val="24"/>
              </w:rPr>
              <w:t xml:space="preserve">ИНН</w:t>
            </w:r>
          </w:p>
        </w:tc>
        <w:tc>
          <w:tcPr>
            <w:tcW w:w="2607" w:type="dxa"/>
          </w:tcPr>
          <w:p>
            <w:pPr>
              <w:pStyle w:val="0"/>
            </w:pPr>
            <w:r>
              <w:rPr>
                <w:sz w:val="24"/>
              </w:rPr>
            </w:r>
          </w:p>
        </w:tc>
      </w:tr>
      <w:tr>
        <w:tc>
          <w:tcPr>
            <w:tcW w:w="510" w:type="dxa"/>
          </w:tcPr>
          <w:p>
            <w:pPr>
              <w:pStyle w:val="0"/>
              <w:jc w:val="center"/>
            </w:pPr>
            <w:r>
              <w:rPr>
                <w:sz w:val="24"/>
              </w:rPr>
              <w:t xml:space="preserve">4.</w:t>
            </w:r>
          </w:p>
        </w:tc>
        <w:tc>
          <w:tcPr>
            <w:tcW w:w="5952" w:type="dxa"/>
          </w:tcPr>
          <w:p>
            <w:pPr>
              <w:pStyle w:val="0"/>
              <w:jc w:val="both"/>
            </w:pPr>
            <w:r>
              <w:rPr>
                <w:sz w:val="24"/>
              </w:rPr>
              <w:t xml:space="preserve">ОГРН</w:t>
            </w:r>
          </w:p>
        </w:tc>
        <w:tc>
          <w:tcPr>
            <w:tcW w:w="2607" w:type="dxa"/>
          </w:tcPr>
          <w:p>
            <w:pPr>
              <w:pStyle w:val="0"/>
            </w:pPr>
            <w:r>
              <w:rPr>
                <w:sz w:val="24"/>
              </w:rPr>
            </w:r>
          </w:p>
        </w:tc>
      </w:tr>
      <w:tr>
        <w:tc>
          <w:tcPr>
            <w:tcW w:w="510" w:type="dxa"/>
          </w:tcPr>
          <w:p>
            <w:pPr>
              <w:pStyle w:val="0"/>
              <w:jc w:val="center"/>
            </w:pPr>
            <w:r>
              <w:rPr>
                <w:sz w:val="24"/>
              </w:rPr>
              <w:t xml:space="preserve">5.</w:t>
            </w:r>
          </w:p>
        </w:tc>
        <w:tc>
          <w:tcPr>
            <w:tcW w:w="5952" w:type="dxa"/>
          </w:tcPr>
          <w:p>
            <w:pPr>
              <w:pStyle w:val="0"/>
              <w:jc w:val="both"/>
            </w:pPr>
            <w:r>
              <w:rPr>
                <w:sz w:val="24"/>
              </w:rPr>
              <w:t xml:space="preserve">Сведения о руководителе</w:t>
            </w:r>
          </w:p>
          <w:p>
            <w:pPr>
              <w:pStyle w:val="0"/>
              <w:jc w:val="both"/>
            </w:pPr>
            <w:r>
              <w:rPr>
                <w:sz w:val="24"/>
              </w:rPr>
              <w:t xml:space="preserve">(должность, Ф.И.О. (при наличии отчества))</w:t>
            </w:r>
          </w:p>
        </w:tc>
        <w:tc>
          <w:tcPr>
            <w:tcW w:w="2607" w:type="dxa"/>
          </w:tcPr>
          <w:p>
            <w:pPr>
              <w:pStyle w:val="0"/>
            </w:pPr>
            <w:r>
              <w:rPr>
                <w:sz w:val="24"/>
              </w:rPr>
            </w:r>
          </w:p>
        </w:tc>
      </w:tr>
      <w:tr>
        <w:tc>
          <w:tcPr>
            <w:tcW w:w="510" w:type="dxa"/>
          </w:tcPr>
          <w:p>
            <w:pPr>
              <w:pStyle w:val="0"/>
              <w:jc w:val="center"/>
            </w:pPr>
            <w:r>
              <w:rPr>
                <w:sz w:val="24"/>
              </w:rPr>
              <w:t xml:space="preserve">6.</w:t>
            </w:r>
          </w:p>
        </w:tc>
        <w:tc>
          <w:tcPr>
            <w:tcW w:w="5952" w:type="dxa"/>
          </w:tcPr>
          <w:p>
            <w:pPr>
              <w:pStyle w:val="0"/>
              <w:jc w:val="both"/>
            </w:pPr>
            <w:r>
              <w:rPr>
                <w:sz w:val="24"/>
              </w:rPr>
              <w:t xml:space="preserve">Контактные лица (Ф.И.О. (при наличии отчества))</w:t>
            </w:r>
          </w:p>
        </w:tc>
        <w:tc>
          <w:tcPr>
            <w:tcW w:w="2607" w:type="dxa"/>
          </w:tcPr>
          <w:p>
            <w:pPr>
              <w:pStyle w:val="0"/>
            </w:pPr>
            <w:r>
              <w:rPr>
                <w:sz w:val="24"/>
              </w:rPr>
            </w:r>
          </w:p>
        </w:tc>
      </w:tr>
      <w:tr>
        <w:tc>
          <w:tcPr>
            <w:tcW w:w="510" w:type="dxa"/>
          </w:tcPr>
          <w:p>
            <w:pPr>
              <w:pStyle w:val="0"/>
              <w:jc w:val="center"/>
            </w:pPr>
            <w:r>
              <w:rPr>
                <w:sz w:val="24"/>
              </w:rPr>
              <w:t xml:space="preserve">7.</w:t>
            </w:r>
          </w:p>
        </w:tc>
        <w:tc>
          <w:tcPr>
            <w:tcW w:w="5952" w:type="dxa"/>
          </w:tcPr>
          <w:p>
            <w:pPr>
              <w:pStyle w:val="0"/>
              <w:jc w:val="both"/>
            </w:pPr>
            <w:r>
              <w:rPr>
                <w:sz w:val="24"/>
              </w:rPr>
              <w:t xml:space="preserve">Телефон (с указанием кода населенного пункта)</w:t>
            </w:r>
          </w:p>
        </w:tc>
        <w:tc>
          <w:tcPr>
            <w:tcW w:w="2607" w:type="dxa"/>
          </w:tcPr>
          <w:p>
            <w:pPr>
              <w:pStyle w:val="0"/>
            </w:pPr>
            <w:r>
              <w:rPr>
                <w:sz w:val="24"/>
              </w:rPr>
            </w:r>
          </w:p>
        </w:tc>
      </w:tr>
      <w:tr>
        <w:tc>
          <w:tcPr>
            <w:tcW w:w="510" w:type="dxa"/>
          </w:tcPr>
          <w:p>
            <w:pPr>
              <w:pStyle w:val="0"/>
              <w:jc w:val="center"/>
            </w:pPr>
            <w:r>
              <w:rPr>
                <w:sz w:val="24"/>
              </w:rPr>
              <w:t xml:space="preserve">8.</w:t>
            </w:r>
          </w:p>
        </w:tc>
        <w:tc>
          <w:tcPr>
            <w:tcW w:w="5952" w:type="dxa"/>
          </w:tcPr>
          <w:p>
            <w:pPr>
              <w:pStyle w:val="0"/>
              <w:jc w:val="both"/>
            </w:pPr>
            <w:r>
              <w:rPr>
                <w:sz w:val="24"/>
              </w:rPr>
              <w:t xml:space="preserve">Адрес электронной почты</w:t>
            </w:r>
          </w:p>
        </w:tc>
        <w:tc>
          <w:tcPr>
            <w:tcW w:w="2607" w:type="dxa"/>
          </w:tcPr>
          <w:p>
            <w:pPr>
              <w:pStyle w:val="0"/>
            </w:pPr>
            <w:r>
              <w:rPr>
                <w:sz w:val="24"/>
              </w:rPr>
            </w:r>
          </w:p>
        </w:tc>
      </w:tr>
      <w:tr>
        <w:tc>
          <w:tcPr>
            <w:tcW w:w="510" w:type="dxa"/>
          </w:tcPr>
          <w:p>
            <w:pPr>
              <w:pStyle w:val="0"/>
              <w:jc w:val="center"/>
            </w:pPr>
            <w:r>
              <w:rPr>
                <w:sz w:val="24"/>
              </w:rPr>
              <w:t xml:space="preserve">9.</w:t>
            </w:r>
          </w:p>
        </w:tc>
        <w:tc>
          <w:tcPr>
            <w:tcW w:w="5952" w:type="dxa"/>
          </w:tcPr>
          <w:p>
            <w:pPr>
              <w:pStyle w:val="0"/>
              <w:jc w:val="both"/>
            </w:pPr>
            <w:r>
              <w:rPr>
                <w:sz w:val="24"/>
              </w:rPr>
              <w:t xml:space="preserve">Наименование планируемых мероприятий, наименование водных объектов и (или) их участков, в отношении которых планируется реализация мероприятий</w:t>
            </w:r>
          </w:p>
        </w:tc>
        <w:tc>
          <w:tcPr>
            <w:tcW w:w="2607" w:type="dxa"/>
          </w:tcPr>
          <w:p>
            <w:pPr>
              <w:pStyle w:val="0"/>
            </w:pPr>
            <w:r>
              <w:rPr>
                <w:sz w:val="24"/>
              </w:rPr>
            </w:r>
          </w:p>
        </w:tc>
      </w:tr>
      <w:tr>
        <w:tc>
          <w:tcPr>
            <w:tcW w:w="510" w:type="dxa"/>
          </w:tcPr>
          <w:p>
            <w:pPr>
              <w:pStyle w:val="0"/>
              <w:jc w:val="center"/>
            </w:pPr>
            <w:r>
              <w:rPr>
                <w:sz w:val="24"/>
              </w:rPr>
              <w:t xml:space="preserve">10.</w:t>
            </w:r>
          </w:p>
        </w:tc>
        <w:tc>
          <w:tcPr>
            <w:tcW w:w="5952" w:type="dxa"/>
          </w:tcPr>
          <w:p>
            <w:pPr>
              <w:pStyle w:val="0"/>
              <w:jc w:val="both"/>
            </w:pPr>
            <w:r>
              <w:rPr>
                <w:sz w:val="24"/>
              </w:rPr>
              <w:t xml:space="preserve">Размер субсидии</w:t>
            </w:r>
          </w:p>
        </w:tc>
        <w:tc>
          <w:tcPr>
            <w:tcW w:w="260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154"/>
        <w:gridCol w:w="340"/>
        <w:gridCol w:w="1417"/>
        <w:gridCol w:w="397"/>
        <w:gridCol w:w="4761"/>
      </w:tblGrid>
      <w:tr>
        <w:tblPrEx>
          <w:tblBorders>
            <w:insideH w:val="single" w:sz="4"/>
          </w:tblBorders>
        </w:tblPrEx>
        <w:tc>
          <w:tcPr>
            <w:tcW w:w="215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4761" w:type="dxa"/>
            <w:tcBorders>
              <w:top w:val="nil"/>
              <w:left w:val="nil"/>
              <w:bottom w:val="single" w:sz="4"/>
              <w:right w:val="nil"/>
            </w:tcBorders>
          </w:tcPr>
          <w:p>
            <w:pPr>
              <w:pStyle w:val="0"/>
            </w:pPr>
            <w:r>
              <w:rPr>
                <w:sz w:val="24"/>
              </w:rPr>
            </w:r>
          </w:p>
        </w:tc>
      </w:tr>
      <w:tr>
        <w:tc>
          <w:tcPr>
            <w:tcW w:w="2154"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4761" w:type="dxa"/>
            <w:tcBorders>
              <w:top w:val="single" w:sz="4"/>
              <w:left w:val="nil"/>
              <w:bottom w:val="nil"/>
              <w:right w:val="nil"/>
            </w:tcBorders>
          </w:tcPr>
          <w:p>
            <w:pPr>
              <w:pStyle w:val="0"/>
              <w:jc w:val="center"/>
            </w:pPr>
            <w:r>
              <w:rPr>
                <w:sz w:val="24"/>
              </w:rPr>
              <w:t xml:space="preserve">(Ф.И.О. (при наличии отчества))</w:t>
            </w:r>
          </w:p>
        </w:tc>
      </w:tr>
      <w:tr>
        <w:tc>
          <w:tcPr>
            <w:gridSpan w:val="5"/>
            <w:tcW w:w="9069" w:type="dxa"/>
            <w:tcBorders>
              <w:top w:val="nil"/>
              <w:left w:val="nil"/>
              <w:bottom w:val="nil"/>
              <w:right w:val="nil"/>
            </w:tcBorders>
          </w:tcPr>
          <w:p>
            <w:pPr>
              <w:pStyle w:val="0"/>
              <w:jc w:val="both"/>
            </w:pPr>
            <w:r>
              <w:rPr>
                <w:sz w:val="24"/>
              </w:rPr>
              <w:t xml:space="preserve">"____" _____________ 20_____ г.</w:t>
            </w:r>
          </w:p>
          <w:p>
            <w:pPr>
              <w:pStyle w:val="0"/>
            </w:pPr>
            <w:r>
              <w:rPr>
                <w:sz w:val="24"/>
              </w:rPr>
            </w:r>
          </w:p>
          <w:p>
            <w:pPr>
              <w:pStyle w:val="0"/>
            </w:pPr>
            <w:r>
              <w:rPr>
                <w:sz w:val="24"/>
              </w:rPr>
              <w:t xml:space="preserve">Приложение:</w:t>
            </w:r>
          </w:p>
          <w:p>
            <w:pPr>
              <w:pStyle w:val="0"/>
            </w:pPr>
            <w:r>
              <w:rPr>
                <w:sz w:val="24"/>
              </w:rPr>
              <w:t xml:space="preserve">1.</w:t>
            </w:r>
          </w:p>
          <w:p>
            <w:pPr>
              <w:pStyle w:val="0"/>
            </w:pPr>
            <w:r>
              <w:rPr>
                <w:sz w:val="24"/>
              </w:rPr>
              <w:t xml:space="preserve">2.</w:t>
            </w:r>
          </w:p>
          <w:p>
            <w:pPr>
              <w:pStyle w:val="0"/>
            </w:pPr>
            <w:r>
              <w:rPr>
                <w:sz w:val="24"/>
              </w:rPr>
              <w:t xml:space="preserve">3.</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Забайкальского края от 28.10.2013 N 465</w:t>
            <w:br/>
            <w:t>(ред. от 28.01.2026)</w:t>
            <w:br/>
            <w:t>"Об утверждении государственной...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Забайкальского края от 28.10.2013 N 465</w:t>
            <w:br/>
            <w:t>(ред. от 28.01.2026)</w:t>
            <w:br/>
            <w:t>"Об утверждении государственной...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1&amp;n=1624812&amp;date=05.05.2026&amp;dst=100005&amp;field=134" TargetMode = "External"/><Relationship Id="rId9" Type="http://schemas.openxmlformats.org/officeDocument/2006/relationships/hyperlink" Target="https://login.consultant.ru/link/?req=doc&amp;base=RLAW251&amp;n=1633638&amp;date=05.05.2026&amp;dst=100005&amp;field=134" TargetMode = "External"/><Relationship Id="rId10" Type="http://schemas.openxmlformats.org/officeDocument/2006/relationships/hyperlink" Target="https://login.consultant.ru/link/?req=doc&amp;base=RLAW251&amp;n=1637082&amp;date=05.05.2026&amp;dst=100005&amp;field=134" TargetMode = "External"/><Relationship Id="rId11" Type="http://schemas.openxmlformats.org/officeDocument/2006/relationships/hyperlink" Target="https://login.consultant.ru/link/?req=doc&amp;base=RLAW251&amp;n=1643740&amp;date=05.05.2026&amp;dst=100005&amp;field=134" TargetMode = "External"/><Relationship Id="rId12" Type="http://schemas.openxmlformats.org/officeDocument/2006/relationships/hyperlink" Target="https://login.consultant.ru/link/?req=doc&amp;base=RLAW251&amp;n=1646796&amp;date=05.05.2026&amp;dst=100005&amp;field=134" TargetMode = "External"/><Relationship Id="rId13" Type="http://schemas.openxmlformats.org/officeDocument/2006/relationships/hyperlink" Target="https://login.consultant.ru/link/?req=doc&amp;base=RLAW251&amp;n=1654037&amp;date=05.05.2026&amp;dst=100005&amp;field=134" TargetMode = "External"/><Relationship Id="rId14" Type="http://schemas.openxmlformats.org/officeDocument/2006/relationships/hyperlink" Target="https://login.consultant.ru/link/?req=doc&amp;base=RLAW251&amp;n=1658575&amp;date=05.05.2026&amp;dst=100005&amp;field=134" TargetMode = "External"/><Relationship Id="rId15" Type="http://schemas.openxmlformats.org/officeDocument/2006/relationships/hyperlink" Target="https://login.consultant.ru/link/?req=doc&amp;base=RLAW251&amp;n=1665322&amp;date=05.05.2026&amp;dst=100005&amp;field=134" TargetMode = "External"/><Relationship Id="rId16" Type="http://schemas.openxmlformats.org/officeDocument/2006/relationships/hyperlink" Target="https://login.consultant.ru/link/?req=doc&amp;base=RLAW251&amp;n=1673801&amp;date=05.05.2026&amp;dst=100005&amp;field=134" TargetMode = "External"/><Relationship Id="rId17" Type="http://schemas.openxmlformats.org/officeDocument/2006/relationships/hyperlink" Target="https://login.consultant.ru/link/?req=doc&amp;base=RLAW251&amp;n=1677749&amp;date=05.05.2026&amp;dst=100005&amp;field=134" TargetMode = "External"/><Relationship Id="rId18" Type="http://schemas.openxmlformats.org/officeDocument/2006/relationships/hyperlink" Target="https://login.consultant.ru/link/?req=doc&amp;base=RLAW251&amp;n=1683298&amp;date=05.05.2026&amp;dst=100005&amp;field=134" TargetMode = "External"/><Relationship Id="rId19" Type="http://schemas.openxmlformats.org/officeDocument/2006/relationships/hyperlink" Target="https://login.consultant.ru/link/?req=doc&amp;base=RLAW251&amp;n=1683978&amp;date=05.05.2026&amp;dst=100509&amp;field=134" TargetMode = "External"/><Relationship Id="rId20" Type="http://schemas.openxmlformats.org/officeDocument/2006/relationships/hyperlink" Target="https://login.consultant.ru/link/?req=doc&amp;base=RLAW251&amp;n=1673801&amp;date=05.05.2026&amp;dst=100010&amp;field=134" TargetMode = "External"/><Relationship Id="rId21" Type="http://schemas.openxmlformats.org/officeDocument/2006/relationships/hyperlink" Target="https://login.consultant.ru/link/?req=doc&amp;base=RLAW251&amp;n=1617552&amp;date=05.05.2026" TargetMode = "External"/><Relationship Id="rId22" Type="http://schemas.openxmlformats.org/officeDocument/2006/relationships/hyperlink" Target="https://login.consultant.ru/link/?req=doc&amp;base=RLAW251&amp;n=1673801&amp;date=05.05.2026&amp;dst=100012&amp;field=134" TargetMode = "External"/><Relationship Id="rId23" Type="http://schemas.openxmlformats.org/officeDocument/2006/relationships/hyperlink" Target="https://login.consultant.ru/link/?req=doc&amp;base=RLAW251&amp;n=1677749&amp;date=05.05.2026&amp;dst=100005&amp;field=134" TargetMode = "External"/><Relationship Id="rId24" Type="http://schemas.openxmlformats.org/officeDocument/2006/relationships/hyperlink" Target="https://login.consultant.ru/link/?req=doc&amp;base=RLAW251&amp;n=1683298&amp;date=05.05.2026&amp;dst=100005&amp;field=134" TargetMode = "External"/><Relationship Id="rId25" Type="http://schemas.openxmlformats.org/officeDocument/2006/relationships/hyperlink" Target="https://login.consultant.ru/link/?req=doc&amp;base=RLAW251&amp;n=1683298&amp;date=05.05.2026&amp;dst=100009&amp;field=134" TargetMode = "External"/><Relationship Id="rId26" Type="http://schemas.openxmlformats.org/officeDocument/2006/relationships/hyperlink" Target="https://login.consultant.ru/link/?req=doc&amp;base=RLAW251&amp;n=1677749&amp;date=05.05.2026&amp;dst=100009&amp;field=134" TargetMode = "External"/><Relationship Id="rId27" Type="http://schemas.openxmlformats.org/officeDocument/2006/relationships/hyperlink" Target="https://login.consultant.ru/link/?req=doc&amp;base=LAW&amp;n=475991&amp;date=05.05.2026" TargetMode = "External"/><Relationship Id="rId28" Type="http://schemas.openxmlformats.org/officeDocument/2006/relationships/hyperlink" Target="https://login.consultant.ru/link/?req=doc&amp;base=LAW&amp;n=522702&amp;date=05.05.2026" TargetMode = "External"/><Relationship Id="rId29" Type="http://schemas.openxmlformats.org/officeDocument/2006/relationships/hyperlink" Target="https://login.consultant.ru/link/?req=doc&amp;base=LAW&amp;n=481663&amp;date=05.05.2026" TargetMode = "External"/><Relationship Id="rId30" Type="http://schemas.openxmlformats.org/officeDocument/2006/relationships/hyperlink" Target="https://login.consultant.ru/link/?req=doc&amp;base=RLAW251&amp;n=1683339&amp;date=05.05.2026" TargetMode = "External"/><Relationship Id="rId31" Type="http://schemas.openxmlformats.org/officeDocument/2006/relationships/hyperlink" Target="https://login.consultant.ru/link/?req=doc&amp;base=RLAW251&amp;n=1673840&amp;date=05.05.2026&amp;dst=114682&amp;field=134" TargetMode = "External"/><Relationship Id="rId32" Type="http://schemas.openxmlformats.org/officeDocument/2006/relationships/hyperlink" Target="https://login.consultant.ru/link/?req=doc&amp;base=LAW&amp;n=522702&amp;date=05.05.2026&amp;dst=123470&amp;field=134" TargetMode = "External"/><Relationship Id="rId33" Type="http://schemas.openxmlformats.org/officeDocument/2006/relationships/hyperlink" Target="https://login.consultant.ru/link/?req=doc&amp;base=LAW&amp;n=522702&amp;date=05.05.2026&amp;dst=123470&amp;field=134" TargetMode = "External"/><Relationship Id="rId34" Type="http://schemas.openxmlformats.org/officeDocument/2006/relationships/hyperlink" Target="https://login.consultant.ru/link/?req=doc&amp;base=RLAW251&amp;n=1677749&amp;date=05.05.2026&amp;dst=100045&amp;field=134" TargetMode = "External"/><Relationship Id="rId35" Type="http://schemas.openxmlformats.org/officeDocument/2006/relationships/hyperlink" Target="https://login.consultant.ru/link/?req=doc&amp;base=LAW&amp;n=475991&amp;date=05.05.2026" TargetMode = "External"/><Relationship Id="rId36" Type="http://schemas.openxmlformats.org/officeDocument/2006/relationships/hyperlink" Target="https://login.consultant.ru/link/?req=doc&amp;base=RLAW251&amp;n=1677749&amp;date=05.05.2026&amp;dst=100046&amp;field=134" TargetMode = "External"/><Relationship Id="rId37" Type="http://schemas.openxmlformats.org/officeDocument/2006/relationships/hyperlink" Target="https://login.consultant.ru/link/?req=doc&amp;base=RLAW251&amp;n=1677749&amp;date=05.05.2026&amp;dst=100048&amp;field=134" TargetMode = "External"/><Relationship Id="rId38" Type="http://schemas.openxmlformats.org/officeDocument/2006/relationships/hyperlink" Target="https://login.consultant.ru/link/?req=doc&amp;base=RLAW251&amp;n=1677749&amp;date=05.05.2026&amp;dst=100049&amp;field=134" TargetMode = "External"/><Relationship Id="rId39" Type="http://schemas.openxmlformats.org/officeDocument/2006/relationships/hyperlink" Target="https://login.consultant.ru/link/?req=doc&amp;base=RLAW251&amp;n=1683298&amp;date=05.05.2026&amp;dst=100010&amp;field=134" TargetMode = "External"/><Relationship Id="rId40" Type="http://schemas.openxmlformats.org/officeDocument/2006/relationships/hyperlink" Target="https://login.consultant.ru/link/?req=doc&amp;base=RLAW251&amp;n=1683298&amp;date=05.05.2026&amp;dst=100042&amp;field=134" TargetMode = "External"/><Relationship Id="rId41" Type="http://schemas.openxmlformats.org/officeDocument/2006/relationships/header" Target="header2.xml"/><Relationship Id="rId42" Type="http://schemas.openxmlformats.org/officeDocument/2006/relationships/footer" Target="footer2.xml"/><Relationship Id="rId43" Type="http://schemas.openxmlformats.org/officeDocument/2006/relationships/hyperlink" Target="https://login.consultant.ru/link/?req=doc&amp;base=RLAW251&amp;n=1677749&amp;date=05.05.2026&amp;dst=101647&amp;field=134" TargetMode = "External"/><Relationship Id="rId44" Type="http://schemas.openxmlformats.org/officeDocument/2006/relationships/hyperlink" Target="https://login.consultant.ru/link/?req=doc&amp;base=RLAW251&amp;n=1673840&amp;date=05.05.2026&amp;dst=114682&amp;field=134" TargetMode = "External"/><Relationship Id="rId45" Type="http://schemas.openxmlformats.org/officeDocument/2006/relationships/hyperlink" Target="https://login.consultant.ru/link/?req=doc&amp;base=RLAW251&amp;n=1676402&amp;date=05.05.2026&amp;dst=101405&amp;field=134" TargetMode = "External"/><Relationship Id="rId46" Type="http://schemas.openxmlformats.org/officeDocument/2006/relationships/image" Target="media/image2.wmf"/><Relationship Id="rId47" Type="http://schemas.openxmlformats.org/officeDocument/2006/relationships/image" Target="media/image3.wmf"/><Relationship Id="rId48" Type="http://schemas.openxmlformats.org/officeDocument/2006/relationships/hyperlink" Target="https://login.consultant.ru/link/?req=doc&amp;base=RLAW251&amp;n=1659219&amp;date=05.05.2026&amp;dst=100008&amp;field=134" TargetMode = "External"/><Relationship Id="rId49" Type="http://schemas.openxmlformats.org/officeDocument/2006/relationships/hyperlink" Target="https://login.consultant.ru/link/?req=doc&amp;base=RLAW251&amp;n=1684398&amp;date=05.05.2026&amp;dst=10005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Забайкальского края от 28.10.2013 N 465
(ред. от 28.01.2026)
"Об утверждении государственной программы Забайкальского края "Воспроизводство и использование природных ресурсов"</dc:title>
  <dcterms:created xsi:type="dcterms:W3CDTF">2026-05-05T02:34:07Z</dcterms:created>
</cp:coreProperties>
</file>