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8A76E2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6E2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1B5DB9" w:rsidRPr="008A76E2">
        <w:rPr>
          <w:rFonts w:ascii="Times New Roman" w:hAnsi="Times New Roman" w:cs="Times New Roman"/>
          <w:b/>
          <w:sz w:val="24"/>
          <w:szCs w:val="24"/>
        </w:rPr>
        <w:t>январь</w:t>
      </w:r>
      <w:r w:rsidRPr="008A76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B5DB9" w:rsidRPr="008A76E2">
        <w:rPr>
          <w:rFonts w:ascii="Times New Roman" w:hAnsi="Times New Roman" w:cs="Times New Roman"/>
          <w:b/>
          <w:sz w:val="24"/>
          <w:szCs w:val="24"/>
        </w:rPr>
        <w:t>22</w:t>
      </w:r>
      <w:r w:rsidRPr="008A76E2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8209F1" w:rsidRPr="008A76E2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8A76E2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8A76E2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8A76E2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8A76E2">
        <w:rPr>
          <w:rFonts w:ascii="Times New Roman" w:hAnsi="Times New Roman" w:cs="Times New Roman"/>
          <w:sz w:val="24"/>
          <w:szCs w:val="24"/>
        </w:rPr>
        <w:t>.</w:t>
      </w:r>
    </w:p>
    <w:p w:rsidR="0063583E" w:rsidRPr="008A76E2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8A76E2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2">
        <w:rPr>
          <w:rFonts w:ascii="Times New Roman" w:hAnsi="Times New Roman" w:cs="Times New Roman"/>
          <w:b/>
          <w:sz w:val="24"/>
          <w:szCs w:val="24"/>
        </w:rPr>
        <w:t>1.</w:t>
      </w:r>
      <w:r w:rsidRPr="008A76E2">
        <w:rPr>
          <w:rFonts w:ascii="Times New Roman" w:hAnsi="Times New Roman" w:cs="Times New Roman"/>
          <w:sz w:val="24"/>
          <w:szCs w:val="24"/>
        </w:rPr>
        <w:t xml:space="preserve"> </w:t>
      </w:r>
      <w:r w:rsidRPr="008A76E2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Обработано входящих документов – 4559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 xml:space="preserve">Зарегистрировано исходящих документов (в </w:t>
      </w:r>
      <w:r>
        <w:rPr>
          <w:rFonts w:ascii="Times New Roman" w:hAnsi="Times New Roman" w:cs="Times New Roman"/>
          <w:sz w:val="24"/>
          <w:szCs w:val="24"/>
        </w:rPr>
        <w:t>т.ч.</w:t>
      </w:r>
      <w:r w:rsidRPr="008A76E2">
        <w:rPr>
          <w:rFonts w:ascii="Times New Roman" w:hAnsi="Times New Roman" w:cs="Times New Roman"/>
          <w:sz w:val="24"/>
          <w:szCs w:val="24"/>
        </w:rPr>
        <w:t xml:space="preserve"> ответы на обращения) - 1598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– 137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Документы, стоящие на контроле, по состоянию на 31.10.2021 - 510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Принято граждан в общественной приёмной - 0;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Отработано обращений граждан – 375,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0;</w:t>
      </w:r>
    </w:p>
    <w:p w:rsidR="008A76E2" w:rsidRPr="008A76E2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Почтовых отправлений – 445,</w:t>
      </w:r>
    </w:p>
    <w:p w:rsidR="00DD6DDC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6E2">
        <w:rPr>
          <w:rFonts w:ascii="Times New Roman" w:hAnsi="Times New Roman" w:cs="Times New Roman"/>
          <w:sz w:val="24"/>
          <w:szCs w:val="24"/>
        </w:rPr>
        <w:t>Всего обработано документов за указанный период - 7624</w:t>
      </w:r>
    </w:p>
    <w:p w:rsidR="008A76E2" w:rsidRPr="001B5DB9" w:rsidRDefault="008A76E2" w:rsidP="008A7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9F1" w:rsidRPr="008323ED" w:rsidRDefault="00EC2437" w:rsidP="00203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3ED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8323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323ED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14280B" w:rsidRPr="0014280B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(ЦП</w:t>
      </w:r>
      <w:r w:rsidR="009C3BE2">
        <w:rPr>
          <w:rFonts w:ascii="Times New Roman" w:hAnsi="Times New Roman" w:cs="Times New Roman"/>
          <w:sz w:val="24"/>
          <w:szCs w:val="24"/>
        </w:rPr>
        <w:t>Д</w:t>
      </w:r>
      <w:r w:rsidRPr="0014280B">
        <w:rPr>
          <w:rFonts w:ascii="Times New Roman" w:hAnsi="Times New Roman" w:cs="Times New Roman"/>
          <w:sz w:val="24"/>
          <w:szCs w:val="24"/>
        </w:rPr>
        <w:t>О</w:t>
      </w:r>
      <w:r w:rsidR="009C3BE2">
        <w:rPr>
          <w:rFonts w:ascii="Times New Roman" w:hAnsi="Times New Roman" w:cs="Times New Roman"/>
          <w:sz w:val="24"/>
          <w:szCs w:val="24"/>
        </w:rPr>
        <w:t>П</w:t>
      </w:r>
      <w:r w:rsidRPr="0014280B">
        <w:rPr>
          <w:rFonts w:ascii="Times New Roman" w:hAnsi="Times New Roman" w:cs="Times New Roman"/>
          <w:sz w:val="24"/>
          <w:szCs w:val="24"/>
        </w:rPr>
        <w:t>Р, СРЦ, КЦСОН), – 516 мест (стационар – 481; дневное – 35).</w:t>
      </w:r>
      <w:r w:rsidR="009C3BE2">
        <w:rPr>
          <w:rFonts w:ascii="Times New Roman" w:hAnsi="Times New Roman" w:cs="Times New Roman"/>
          <w:sz w:val="24"/>
          <w:szCs w:val="24"/>
        </w:rPr>
        <w:t xml:space="preserve"> </w:t>
      </w:r>
      <w:r w:rsidRPr="0014280B">
        <w:rPr>
          <w:rFonts w:ascii="Times New Roman" w:hAnsi="Times New Roman" w:cs="Times New Roman"/>
          <w:sz w:val="24"/>
          <w:szCs w:val="24"/>
        </w:rPr>
        <w:t>По состоянию на 01.02.2022г.:</w:t>
      </w:r>
      <w:r w:rsidR="009C3BE2">
        <w:rPr>
          <w:rFonts w:ascii="Times New Roman" w:hAnsi="Times New Roman" w:cs="Times New Roman"/>
          <w:sz w:val="24"/>
          <w:szCs w:val="24"/>
        </w:rPr>
        <w:t xml:space="preserve"> </w:t>
      </w:r>
      <w:r w:rsidRPr="0014280B">
        <w:rPr>
          <w:rFonts w:ascii="Times New Roman" w:hAnsi="Times New Roman" w:cs="Times New Roman"/>
          <w:sz w:val="24"/>
          <w:szCs w:val="24"/>
        </w:rPr>
        <w:t>списочный состав – 471 чел., факт – 394 чел.</w:t>
      </w:r>
    </w:p>
    <w:p w:rsidR="008323ED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Оздоровлено с начала года – 138 детей, находящихся в трудной жизненной ситуации, из них:</w:t>
      </w:r>
      <w:r w:rsidR="009C3BE2">
        <w:rPr>
          <w:rFonts w:ascii="Times New Roman" w:hAnsi="Times New Roman" w:cs="Times New Roman"/>
          <w:sz w:val="24"/>
          <w:szCs w:val="24"/>
        </w:rPr>
        <w:t xml:space="preserve"> </w:t>
      </w:r>
      <w:r w:rsidRPr="0014280B">
        <w:rPr>
          <w:rFonts w:ascii="Times New Roman" w:hAnsi="Times New Roman" w:cs="Times New Roman"/>
          <w:sz w:val="24"/>
          <w:szCs w:val="24"/>
        </w:rPr>
        <w:t>138–в санаторно-курортных учреждениях.</w:t>
      </w:r>
    </w:p>
    <w:p w:rsidR="0014280B" w:rsidRPr="0014280B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По состоянию на 01.02.2022 года меры финансовой поддержки семьям при рождении детей предоставлены:</w:t>
      </w:r>
    </w:p>
    <w:p w:rsidR="0014280B" w:rsidRPr="009C3BE2" w:rsidRDefault="0014280B" w:rsidP="009C3BE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7 860 семьям;</w:t>
      </w:r>
    </w:p>
    <w:p w:rsidR="0014280B" w:rsidRPr="009C3BE2" w:rsidRDefault="0014280B" w:rsidP="009C3BE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31.12.2018г. третьего ребенка или последующих детей до достижения ребенком возраста 3 лет (федеральная выплата) 6 220 семьям;</w:t>
      </w:r>
    </w:p>
    <w:p w:rsidR="0014280B" w:rsidRPr="009C3BE2" w:rsidRDefault="0014280B" w:rsidP="009C3BE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14280B" w:rsidRPr="009C3BE2" w:rsidRDefault="0014280B" w:rsidP="009C3BE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–предоставлена194 семьям;</w:t>
      </w:r>
    </w:p>
    <w:p w:rsidR="0014280B" w:rsidRPr="009C3BE2" w:rsidRDefault="0014280B" w:rsidP="009C3BE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–предоставлен 168 семьям.</w:t>
      </w:r>
    </w:p>
    <w:p w:rsidR="0014280B" w:rsidRPr="0014280B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Всего кассовые расходы составили9,3 % средств (298,3 млн. руб.).</w:t>
      </w:r>
    </w:p>
    <w:p w:rsidR="0014280B" w:rsidRPr="0014280B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ситуации.</w:t>
      </w:r>
    </w:p>
    <w:p w:rsidR="0014280B" w:rsidRPr="0014280B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80B">
        <w:rPr>
          <w:rFonts w:ascii="Times New Roman" w:hAnsi="Times New Roman" w:cs="Times New Roman"/>
          <w:sz w:val="24"/>
          <w:szCs w:val="24"/>
        </w:rPr>
        <w:t>Финансирование 2022 года – 359,0 млн. руб. (326,7млн. руб.  – из федерального бюджета, 32,3 млн. руб. – из краевого бюджета) на заключение 2 915 соцконтрактов.</w:t>
      </w:r>
    </w:p>
    <w:tbl>
      <w:tblPr>
        <w:tblStyle w:val="a3"/>
        <w:tblW w:w="9464" w:type="dxa"/>
        <w:tblLayout w:type="fixed"/>
        <w:tblLook w:val="04A0"/>
      </w:tblPr>
      <w:tblGrid>
        <w:gridCol w:w="5778"/>
        <w:gridCol w:w="993"/>
        <w:gridCol w:w="2693"/>
      </w:tblGrid>
      <w:tr w:rsidR="0014280B" w:rsidRPr="009C3BE2" w:rsidTr="009C3BE2">
        <w:trPr>
          <w:trHeight w:val="20"/>
        </w:trPr>
        <w:tc>
          <w:tcPr>
            <w:tcW w:w="5778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693" w:type="dxa"/>
            <w:vAlign w:val="center"/>
          </w:tcPr>
          <w:p w:rsidR="0014280B" w:rsidRPr="009C3BE2" w:rsidRDefault="0014280B" w:rsidP="009C3B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Число заключенных контрактов на 01.02.2022г.</w:t>
            </w:r>
          </w:p>
        </w:tc>
      </w:tr>
      <w:tr w:rsidR="0014280B" w:rsidRPr="009C3BE2" w:rsidTr="009C3BE2">
        <w:trPr>
          <w:trHeight w:val="20"/>
        </w:trPr>
        <w:tc>
          <w:tcPr>
            <w:tcW w:w="5778" w:type="dxa"/>
          </w:tcPr>
          <w:p w:rsidR="0014280B" w:rsidRPr="009C3BE2" w:rsidRDefault="0014280B" w:rsidP="001428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работы </w:t>
            </w:r>
          </w:p>
        </w:tc>
        <w:tc>
          <w:tcPr>
            <w:tcW w:w="9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959</w:t>
            </w:r>
          </w:p>
        </w:tc>
        <w:tc>
          <w:tcPr>
            <w:tcW w:w="26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4280B" w:rsidRPr="009C3BE2" w:rsidTr="009C3BE2">
        <w:trPr>
          <w:trHeight w:val="20"/>
        </w:trPr>
        <w:tc>
          <w:tcPr>
            <w:tcW w:w="5778" w:type="dxa"/>
          </w:tcPr>
          <w:p w:rsidR="0014280B" w:rsidRPr="009C3BE2" w:rsidRDefault="0014280B" w:rsidP="001428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9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26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4280B" w:rsidRPr="009C3BE2" w:rsidTr="009C3BE2">
        <w:trPr>
          <w:trHeight w:val="20"/>
        </w:trPr>
        <w:tc>
          <w:tcPr>
            <w:tcW w:w="5778" w:type="dxa"/>
          </w:tcPr>
          <w:p w:rsidR="0014280B" w:rsidRPr="009C3BE2" w:rsidRDefault="0014280B" w:rsidP="001428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9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26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4280B" w:rsidRPr="009C3BE2" w:rsidTr="009C3BE2">
        <w:trPr>
          <w:trHeight w:val="20"/>
        </w:trPr>
        <w:tc>
          <w:tcPr>
            <w:tcW w:w="5778" w:type="dxa"/>
          </w:tcPr>
          <w:p w:rsidR="0014280B" w:rsidRPr="009C3BE2" w:rsidRDefault="0014280B" w:rsidP="001428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9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26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14280B" w:rsidRPr="009C3BE2" w:rsidTr="009C3BE2">
        <w:trPr>
          <w:trHeight w:val="20"/>
        </w:trPr>
        <w:tc>
          <w:tcPr>
            <w:tcW w:w="5778" w:type="dxa"/>
          </w:tcPr>
          <w:p w:rsidR="0014280B" w:rsidRPr="009C3BE2" w:rsidRDefault="0014280B" w:rsidP="001428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2915</w:t>
            </w:r>
          </w:p>
        </w:tc>
        <w:tc>
          <w:tcPr>
            <w:tcW w:w="2693" w:type="dxa"/>
            <w:vAlign w:val="center"/>
          </w:tcPr>
          <w:p w:rsidR="0014280B" w:rsidRPr="009C3BE2" w:rsidRDefault="0014280B" w:rsidP="001428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BE2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</w:tbl>
    <w:p w:rsidR="0014280B" w:rsidRPr="001B5DB9" w:rsidRDefault="0014280B" w:rsidP="00142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0718" w:rsidRPr="001B5DB9" w:rsidRDefault="00ED04DF" w:rsidP="00D0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DB9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По состоянию на 31.01.2022 года всего детей-сирот, состоящих в краевом списке – 8193 чел., из них достигли возраста 18 лет и имеют право на обеспечение жилыми помещениями – 6826 чел.; 1619 решений суда.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На 2022 год предусмотрено 731 378 700,00 руб. (в т.ч. 665 554 600,00 руб. федерального бюджета и 65 824 100,00 руб. краевого бюджета) на обеспечение 247 детей-сирот.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Поступило решений суда в период с 01.01.2022 года по 31.01.2022 года – 15 решений.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 xml:space="preserve">За 2021 год проведено 20 комиссий по включению, установлению факта невозможности проживания и предоставлению жилых помещений детям-сиротам: </w:t>
      </w:r>
    </w:p>
    <w:p w:rsidR="001B5DB9" w:rsidRPr="001B5DB9" w:rsidRDefault="001B5DB9" w:rsidP="001B5DB9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490 чел. – включено в краевой список;</w:t>
      </w:r>
    </w:p>
    <w:p w:rsidR="001B5DB9" w:rsidRPr="001B5DB9" w:rsidRDefault="001B5DB9" w:rsidP="001B5DB9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47 чел – отказано во включении в краевой список;</w:t>
      </w:r>
    </w:p>
    <w:p w:rsidR="001B5DB9" w:rsidRPr="001B5DB9" w:rsidRDefault="001B5DB9" w:rsidP="001B5DB9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435 чел. – исключено из краевого списка;</w:t>
      </w:r>
    </w:p>
    <w:p w:rsidR="001B5DB9" w:rsidRPr="001B5DB9" w:rsidRDefault="001B5DB9" w:rsidP="001B5DB9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96 чел. – установлено фактов невозможности проживания;</w:t>
      </w:r>
    </w:p>
    <w:p w:rsidR="001B5DB9" w:rsidRPr="001B5DB9" w:rsidRDefault="001B5DB9" w:rsidP="001B5DB9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28 чел. – отказано в установлении факта невозможности проживания.</w:t>
      </w:r>
    </w:p>
    <w:p w:rsidR="001B5DB9" w:rsidRDefault="001B5DB9" w:rsidP="001B5DB9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137 чел – вынесено решение о предоставлении жилья (79 чел. заключил договор).</w:t>
      </w:r>
    </w:p>
    <w:p w:rsidR="001B5DB9" w:rsidRPr="001B5DB9" w:rsidRDefault="001B5DB9" w:rsidP="001B5DB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 xml:space="preserve">В </w:t>
      </w:r>
      <w:r>
        <w:rPr>
          <w:rFonts w:ascii="Times New Roman" w:hAnsi="Times New Roman" w:cs="Times New Roman"/>
          <w:sz w:val="24"/>
          <w:szCs w:val="28"/>
        </w:rPr>
        <w:t xml:space="preserve">январе </w:t>
      </w:r>
      <w:r w:rsidRPr="001B5DB9">
        <w:rPr>
          <w:rFonts w:ascii="Times New Roman" w:hAnsi="Times New Roman" w:cs="Times New Roman"/>
          <w:sz w:val="24"/>
          <w:szCs w:val="28"/>
        </w:rPr>
        <w:t>2022 г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1B5DB9">
        <w:rPr>
          <w:rFonts w:ascii="Times New Roman" w:hAnsi="Times New Roman" w:cs="Times New Roman"/>
          <w:sz w:val="24"/>
          <w:szCs w:val="28"/>
        </w:rPr>
        <w:t xml:space="preserve"> проведено заседаний межведомственной комиссии – 1 заседание:</w:t>
      </w:r>
    </w:p>
    <w:p w:rsidR="001B5DB9" w:rsidRPr="001B5DB9" w:rsidRDefault="001B5DB9" w:rsidP="001B5DB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23 чел. – включено в краевой список</w:t>
      </w:r>
    </w:p>
    <w:p w:rsidR="001B5DB9" w:rsidRPr="001B5DB9" w:rsidRDefault="001B5DB9" w:rsidP="001B5DB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1 чел. – отказано во включении в краевой список</w:t>
      </w:r>
    </w:p>
    <w:p w:rsidR="001B5DB9" w:rsidRPr="001B5DB9" w:rsidRDefault="001B5DB9" w:rsidP="001B5DB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87 чел. – исключено из краевого списка</w:t>
      </w:r>
    </w:p>
    <w:p w:rsidR="001B5DB9" w:rsidRPr="001B5DB9" w:rsidRDefault="001B5DB9" w:rsidP="001B5DB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3 чел. – установлено фактов невозможности проживания</w:t>
      </w:r>
    </w:p>
    <w:p w:rsidR="001B5DB9" w:rsidRPr="001B5DB9" w:rsidRDefault="001B5DB9" w:rsidP="001B5DB9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 xml:space="preserve">3 чел. – отказано в установлении факта 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Информация по детским домам за период с 01.01. по 31.01.:</w:t>
      </w:r>
    </w:p>
    <w:p w:rsidR="001B5DB9" w:rsidRPr="001B5DB9" w:rsidRDefault="001B5DB9" w:rsidP="001B5DB9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522 – детей-сирот по списку, находящихся в ГУСО для детей-сирот</w:t>
      </w:r>
    </w:p>
    <w:p w:rsidR="001B5DB9" w:rsidRPr="001B5DB9" w:rsidRDefault="001B5DB9" w:rsidP="001B5DB9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462 – детей-сирот по факту, находящихся в ГУСО для детей-сирот</w:t>
      </w:r>
    </w:p>
    <w:p w:rsidR="00A5588D" w:rsidRPr="001B5DB9" w:rsidRDefault="001B5DB9" w:rsidP="001B5DB9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5DB9">
        <w:rPr>
          <w:rFonts w:ascii="Times New Roman" w:hAnsi="Times New Roman" w:cs="Times New Roman"/>
          <w:sz w:val="24"/>
          <w:szCs w:val="28"/>
        </w:rPr>
        <w:t>12– выдано направлений на устройство в ГУСО для детей-сирот</w:t>
      </w:r>
    </w:p>
    <w:p w:rsidR="001B5DB9" w:rsidRPr="001B5DB9" w:rsidRDefault="001B5DB9" w:rsidP="001B5D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E5A6B" w:rsidRPr="001B5DB9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2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93C22">
        <w:rPr>
          <w:rFonts w:ascii="Times New Roman" w:hAnsi="Times New Roman"/>
          <w:b/>
          <w:sz w:val="24"/>
          <w:szCs w:val="24"/>
        </w:rPr>
        <w:t>Отдел опеки и попечительства несовершеннолетних.</w:t>
      </w:r>
      <w:r w:rsidRPr="001B5DB9">
        <w:rPr>
          <w:rFonts w:ascii="Times New Roman" w:hAnsi="Times New Roman"/>
          <w:b/>
          <w:sz w:val="24"/>
          <w:szCs w:val="24"/>
        </w:rPr>
        <w:t xml:space="preserve"> 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Подготовка ответов на письменные обращения граждан. Направлены 22 запросов и ответов в рамках рассмотрения обращений граждан (без учета вопросов усыновления). Вопросы предоставления информации о детях из регионального банка данных, порядке работы органов опеки и попечительства г.Чита, рассмотрение семейных споров. 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Рассмотрение запросов и информаций. Направлены 68 информаций, ответов и запросов по вопросам деятельности отдела. Основные вопросы: 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контрольных органов, министерств ведомств. Ответ на запрос Минпросвещения России по модернизации программы Аист ГБД. Ответ в прокуратуру края по вопросам отобрания детей. Ответ на запрос Минпросвещения России по Комплексу мер по подготовке специалистов органов опеки. Направлен ответ в Минпросвещения России о содействии в проведении анкетирования кандидатов в замещающие родители, воспитанников и сотрудников учреждений для сирот. Направлен ответ в Минпросвещения России об исполнении протокола от 23.08.2021 № Д07-44/07пр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(апробация модели межведомственного взаимодействия). Заместителю председателя Правительства Забайкальского края направлена информация об исполнении пункта 1.4 постановления КДН за 9 месяцев 2021 года (работа с неблагополучными семьями). Ответ заместителю председателя Правительства Забайкальского края по поручению о снижении численности детей-сирот в крае. Направлено письмо в Минпросвещения России по вопросам подготовки перевода 2 услуг в электронный вид (назначение опекуна и назначение выплат). Подготовлена информация Министерства в свод для ответа на запрос Минпросвещения России по резонансным ситуациям с несовершеннолетними.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Для дальнейшей разработки проекта детской деревни в с.Чара - «Чароит». Работа по согласованию проекта приостановлена в связи с тем, что реализация проекта ООО Удоканская медь запланирована на 2022 год. Информация по проекту предоставлена по запросу в адрес заместителя губернатора Ванчиковой А.Г.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Деятельность ГУСО. Проведены 2 комиссии жизнеустройства детей в ГУСО. Рассмотрены дела по 22 несовершеннолетним.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Деятельность органов опеки и попечительства несовершеннолетних. Направлены 14 запросов и справочных информаций в муниципалитеты по устранению выявленных нарушений ведения регионального банка данных о детях-сиротах, размещения анкет детей-сирот, причинах их возникновения. Направлено письмо Главам районов о необходимости организации работы по устройству детей, находящихся в ГУСО. Направлено письмо Главам районов по вопросам подготовки перевода 2 услуг в электронный вид (назначение опекуна и назначение выплат). Направлено письмо в опеку г.Чита по ускорению работы устройства 13 детей из ГУСО Надежда.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Защита имущественных прав детей- сирот. Ответ на запрос Минпросвещения России о правоприменительной практике защиты имущественных </w:t>
      </w:r>
      <w:r>
        <w:rPr>
          <w:rFonts w:ascii="Times New Roman" w:hAnsi="Times New Roman" w:cs="Times New Roman"/>
          <w:sz w:val="24"/>
          <w:szCs w:val="24"/>
        </w:rPr>
        <w:t>прав несовершеннолетних. На 01.01</w:t>
      </w:r>
      <w:r w:rsidRPr="0088375F">
        <w:rPr>
          <w:rFonts w:ascii="Times New Roman" w:hAnsi="Times New Roman" w:cs="Times New Roman"/>
          <w:sz w:val="24"/>
          <w:szCs w:val="24"/>
        </w:rPr>
        <w:t>.2021 года жилье закреплено за 1537 детьми – сиротами.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Участие в рейдах соблюдения ограничительных мер COVID-19.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Подготовлены, направлены для рассмотрения Краевой КДН предложения о внесении изменений в порядок межведомственного взаимодействия органов профилактики. Руководителям ГУСО направлены материалы Форума</w:t>
      </w:r>
      <w:r>
        <w:rPr>
          <w:rFonts w:ascii="Times New Roman" w:hAnsi="Times New Roman" w:cs="Times New Roman"/>
          <w:sz w:val="24"/>
          <w:szCs w:val="24"/>
        </w:rPr>
        <w:t xml:space="preserve"> социальных инноваций регионов.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Подготовлено 2 публикации на сайт Министерства в рубрику «Звездочки, которые хотят обрести семью» (всего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375F">
        <w:rPr>
          <w:rFonts w:ascii="Times New Roman" w:hAnsi="Times New Roman" w:cs="Times New Roman"/>
          <w:sz w:val="24"/>
          <w:szCs w:val="24"/>
        </w:rPr>
        <w:t xml:space="preserve"> публикаций).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Сбор и рассмотрение материалов участников краевого слета опекунских семей.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Численность детей в региональном банке данных – 1286 (на 01.01.2021- 1362, на 01.01.2020 – 1441, на 01.01.2019 – 1526, на 01.01.2018 - 1720). Всего сирот в крае 5733 (на 01.01.2021 – 5915), из них  4395 в замещающих семьях. Выявлено детей сирот в 2021 году – 598 (в 2020 году- 829). Устроено в семьи в 2021 году 679 (в 2020 году – 1042). </w:t>
      </w:r>
    </w:p>
    <w:p w:rsidR="00C93C22" w:rsidRPr="0088375F" w:rsidRDefault="00C93C22" w:rsidP="00C93C22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Лишено родительских прав в 2021 году 347 родителя в отношении 415 детей, ограничено 149 родителей в отношении 217 детей. Всего 496 родителей в отношении 632 детей (2020 год - 427 родителей / 570 детей, ограничено 211 родителей / 320 детей, всего 638 родителей / 890 детей). </w:t>
      </w:r>
    </w:p>
    <w:p w:rsidR="001B5DB9" w:rsidRDefault="00C93C22" w:rsidP="00C93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375F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 22 родителей в отношении 30 детей, Сняты ограничения 28 родителей в отношении 44 детей. Всего 50 родителей в отношении 74 детей ( 2020 год - 15 родителей  / 23 детей, Сняты ограничения 28 родителя / 49 детей, всего 43 родителя / 72 детей).</w:t>
      </w:r>
    </w:p>
    <w:p w:rsidR="00C93C22" w:rsidRPr="001B5DB9" w:rsidRDefault="00C93C22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2ED3" w:rsidRPr="004005E8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E8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4005E8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2. В стационарные организации социального обслуживания выдано 53 путевки.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lastRenderedPageBreak/>
        <w:t>Всего по состоянию на 01.02.2022 года в государственных стационарных учреждениях социального обслуживания проживает 2749 граждан пожилого возраста и инвалидов.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Всего в период с 10.01. по 31.01.2022 года в Министерство труда и социальной защиты населения Забайкальского края поступило 18 пакетов документов для определения граждан в государственные стационарные учреждения социального обслуживания.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Всего по состоянию на 01.02.2022 года в очереди на дом-интернат состоит 51 человек.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3. С 10.01.2021 в Министерство поступило 1890 ИПРА, по которым разработаны мероприятия ИПРА инвалида и направлены исполнителям мероприятий (подведомст</w:t>
      </w:r>
      <w:r>
        <w:rPr>
          <w:rFonts w:ascii="Times New Roman" w:hAnsi="Times New Roman" w:cs="Times New Roman"/>
          <w:sz w:val="24"/>
          <w:szCs w:val="24"/>
        </w:rPr>
        <w:t>венные учреждения Министерства).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4. Подготовлено 6 приказов Министерства труда и социальной защиты населения Забайкальского края в введении режима изоляции в государственных стационарных учреждениях (отделениях) социального обслуживания граждан пожилого возраста и инвалидов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 xml:space="preserve"> 5. Подготовлены приказы МТСЗН об утверждении государственного задания учреждениями осуществляющими социальное обслуживание на дому, в стационарной и полустационарной формах социального обслуживания в отношении 23 ГУСО.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6. Организационная работа по внедрению на территории Забайкальского края системы долговременного ухода»: подготовка приказов МТСЗН о пилотных учреждениях. Порядок работы в СДУ.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E8">
        <w:rPr>
          <w:rFonts w:ascii="Times New Roman" w:hAnsi="Times New Roman" w:cs="Times New Roman"/>
          <w:sz w:val="24"/>
          <w:szCs w:val="24"/>
        </w:rPr>
        <w:t>Разработан проект постановления Правительства Забайкальского края «О внесении изменений в пункт 4 Перечня краевых государственных учреждений, координация и регулирование деятельности которых возложены на исполнительные органы государственной власти Забайкальского края».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E8">
        <w:rPr>
          <w:rFonts w:ascii="Times New Roman" w:hAnsi="Times New Roman" w:cs="Times New Roman"/>
          <w:sz w:val="24"/>
          <w:szCs w:val="24"/>
        </w:rPr>
        <w:t>Участие в семинаре «Практики субъектов Российская Федерации в части обеспечения доступа негосударственных организаций на рынок услуг в социальной сфере»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E8">
        <w:rPr>
          <w:rFonts w:ascii="Times New Roman" w:hAnsi="Times New Roman" w:cs="Times New Roman"/>
          <w:sz w:val="24"/>
          <w:szCs w:val="24"/>
        </w:rPr>
        <w:t>Работа с учреждениями по грантовой деятельности, создана группа для оперативного взаимодействия в «WhatsApp», 29 учреждений включены в состав группы. Организовала взаимодействие учреждений по вопросам грантовой деятельности, проводится мониторинг информации о грантовых конкурсах.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5E8">
        <w:rPr>
          <w:rFonts w:ascii="Times New Roman" w:hAnsi="Times New Roman" w:cs="Times New Roman"/>
          <w:sz w:val="24"/>
          <w:szCs w:val="24"/>
        </w:rPr>
        <w:t>Работа с Реестром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принято участие в совещании Минэконом развития РФ по формированию единого реестра социально ориентированных некоммерческих организаций.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11. Работа с НКО по заключению соглашений о предоставлении субсидии на 2022 год.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 xml:space="preserve">12. Направлены поздравления (февраль) в связи с традиционно считающимися юбилейными днями рождения, начиная с 90-летия, персональных поздравлений Президента Российской Федерации с Днем Победы и с юбилейными годовщинами дней воинской славы России в Великой Отечественной войне. Свод отчета за январь. 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13. Организация заездов в реабилитационные центры.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14. Подготовлен и размещен на сайте Министерства Доклад об итогах работы по профилактике нарушений обязательных требований законодательства в сфере социального обслуживания за 2021 год;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- подготовлен и размещен на сайте Министерства приказ «Об утверждении целевых значений показателей результативности и эффективности контрольно-надзорной деятельности при осуществлении регионального государственного контроля (надзора) в сфере социального обслуживания на территории Забайкальского края на 2022 год»;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lastRenderedPageBreak/>
        <w:t>- подготовлен и направлен для свода в отдел контроля и надзора Доклад об осуществлении региональный государственный контроль (надзор) в сфере социального обслуживания за 2021 год;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- подготовлены и размещены на сайте Министерства «Фактические (достигнутые) значения показателей результативности и эффективности контрольно-надзорной деятельности при осуществлении контроля (надзора) в сфере социального обслуживания за 2021 год»;</w:t>
      </w:r>
    </w:p>
    <w:p w:rsidR="004005E8" w:rsidRPr="004005E8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- подготовлено и размещено на сайте Министерства «Обобщение практики осуществления регионального государственного контроля (надзора) в сфере социального обслуживания за 2021 год»;</w:t>
      </w:r>
    </w:p>
    <w:p w:rsidR="000A342B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5E8">
        <w:rPr>
          <w:rFonts w:ascii="Times New Roman" w:hAnsi="Times New Roman" w:cs="Times New Roman"/>
          <w:sz w:val="24"/>
          <w:szCs w:val="24"/>
        </w:rPr>
        <w:t>15. Совместно с региональными общественными организациями инвалидов сформирован план мониторинга объектов социальной инфраструктуры на 2022 год.</w:t>
      </w:r>
    </w:p>
    <w:p w:rsidR="004005E8" w:rsidRPr="001B5DB9" w:rsidRDefault="004005E8" w:rsidP="004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1B5DB9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8A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136E8A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Подготовлен ответ в адрес Министерства физической культуры и спорта Забайкальского края во  исполнение письма Министерства спорта Российской Федерации от 17 декабря 2021 года № ОМ-03-04/10971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1B5DB9">
        <w:rPr>
          <w:rFonts w:ascii="Times New Roman" w:hAnsi="Times New Roman" w:cs="Times New Roman"/>
          <w:sz w:val="24"/>
          <w:szCs w:val="24"/>
        </w:rPr>
        <w:t>аправлена информация о проведении в подведомственных Министерству государственных учреждениях социального обслуживания спортивных мероприятий, приуроченных к Декаде спорта и здоровья в период с 1 по 9 января 2022 года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Подготовлен ответ на пункты 2.2.1., 2.2.2. протокола заседания антинаркотической комиссии в Забайкальск</w:t>
      </w:r>
      <w:r>
        <w:rPr>
          <w:rFonts w:ascii="Times New Roman" w:hAnsi="Times New Roman" w:cs="Times New Roman"/>
          <w:sz w:val="24"/>
          <w:szCs w:val="24"/>
        </w:rPr>
        <w:t xml:space="preserve">ом крае от 8 октября 2020 года </w:t>
      </w:r>
      <w:r w:rsidRPr="001B5DB9">
        <w:rPr>
          <w:rFonts w:ascii="Times New Roman" w:hAnsi="Times New Roman" w:cs="Times New Roman"/>
          <w:sz w:val="24"/>
          <w:szCs w:val="24"/>
        </w:rPr>
        <w:t>№ ИД-218-20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В адрес руководителю антинаркотической комиссии в Забайкальском крае направлена информация о проведенных в 2021 году мероприятиях в подведомственных Министерству государственных учреждениях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по противодейств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1B5DB9">
        <w:rPr>
          <w:rFonts w:ascii="Times New Roman" w:hAnsi="Times New Roman" w:cs="Times New Roman"/>
          <w:sz w:val="24"/>
          <w:szCs w:val="24"/>
        </w:rPr>
        <w:t xml:space="preserve"> употреблени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5DB9">
        <w:rPr>
          <w:rFonts w:ascii="Times New Roman" w:hAnsi="Times New Roman" w:cs="Times New Roman"/>
          <w:sz w:val="24"/>
          <w:szCs w:val="24"/>
        </w:rPr>
        <w:t xml:space="preserve"> психоактиных веществ. 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Подготовлен приказ о работе в праздн</w:t>
      </w:r>
      <w:r>
        <w:rPr>
          <w:rFonts w:ascii="Times New Roman" w:hAnsi="Times New Roman" w:cs="Times New Roman"/>
          <w:sz w:val="24"/>
          <w:szCs w:val="24"/>
        </w:rPr>
        <w:t xml:space="preserve">ичный день 2 февраля 2022 года. </w:t>
      </w:r>
      <w:r w:rsidRPr="001B5DB9">
        <w:rPr>
          <w:rFonts w:ascii="Times New Roman" w:hAnsi="Times New Roman" w:cs="Times New Roman"/>
          <w:sz w:val="24"/>
          <w:szCs w:val="24"/>
        </w:rPr>
        <w:t xml:space="preserve">На основании приказа, назначен ответственный дежурный по Министерству, установлен порядок работы подведомственных учреждений 2 февраля 2022 года, определен порядок дежурства в Министерстве. 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 xml:space="preserve">Проведен анализ 577 анкет получателей социальных услуг об их удовлетворенности качеством предоставления социальных услуг  за 4 квартал 2021 года.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5DB9">
        <w:rPr>
          <w:rFonts w:ascii="Times New Roman" w:hAnsi="Times New Roman" w:cs="Times New Roman"/>
          <w:sz w:val="24"/>
          <w:szCs w:val="24"/>
        </w:rPr>
        <w:t>бработано 577 анкет, из них:</w:t>
      </w:r>
    </w:p>
    <w:p w:rsidR="001B5DB9" w:rsidRPr="001B5DB9" w:rsidRDefault="001B5DB9" w:rsidP="001B5DB9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299 анкет получателей социальных услуг в стационарной форме социального обслуживания,</w:t>
      </w:r>
    </w:p>
    <w:p w:rsidR="001B5DB9" w:rsidRPr="001B5DB9" w:rsidRDefault="001B5DB9" w:rsidP="001B5DB9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157 анкет получателей социальных услуг в полустационарной форме социального обслуживания,</w:t>
      </w:r>
    </w:p>
    <w:p w:rsidR="001B5DB9" w:rsidRPr="001B5DB9" w:rsidRDefault="001B5DB9" w:rsidP="001B5DB9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121 анкета получателей социальных услуг в форме социального обслуживания на дому.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 итогам мониторинга, наибольшее количество респондентов (97 %) удовлетворены получаемыми социальными услугами. Направлен отчет в адрес Министерства труда и социальной защиты РФ.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Сформированы на основании полученных от подведомственных учреждений данных сведения по формам №№ 4-7 за второе полугодие 2021 года во исполнение приказа Министерства труда и социальной защиты Российской Федерации от 18 сентября 2014 года № 651н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Сформированы сведения по формам №№ 4-7 за 2 полугодие 2021 года во исполнение приказа Министерства труда и социальной защиты Российской Федерации от 18 сентября 2014 года № 651н.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Информация направлена в адрес Министерства труда и социальной защиты РФ, а также размещена на сайте Министерства труда и социальной защиты РФ.</w:t>
      </w:r>
    </w:p>
    <w:p w:rsid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Подготовлены сметные расчеты на ремонтные работы на сумму 1703,822 тыс.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 xml:space="preserve">Выполнен сметный расчет на установку видеонаблюдения в складских </w:t>
      </w:r>
      <w:r w:rsidRPr="001B5DB9">
        <w:rPr>
          <w:rFonts w:ascii="Times New Roman" w:hAnsi="Times New Roman" w:cs="Times New Roman"/>
          <w:sz w:val="24"/>
          <w:szCs w:val="24"/>
        </w:rPr>
        <w:lastRenderedPageBreak/>
        <w:t>помещениях ГСУСО пансионат «Яснинский» на сумму 491,438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Выполнен сметный расчет на установку камер видеонаблюдения  на хоз. постройках ГСУСО пансионат «Яснинский» на сумму 54,322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Выполнен сметный расчет на ремонт кровли складов ГАУСО «Читинский ПНДИ» на сумму 369,562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Выполнен сметный расчет на ремонт кабинета кадров ГАУСО «Читинский ПНДИ» на сумму 151,322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Выполнен сметный расчет на ремонт кондитерского цеха ГАУСО «Читинский ПНДИ» на сумму 788,5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Сбор информации от учреждений о финансировании и освоении средств по капитальному и текущему ремонту за декабрь 2021 года.</w:t>
      </w:r>
      <w:r>
        <w:rPr>
          <w:rFonts w:ascii="Times New Roman" w:hAnsi="Times New Roman" w:cs="Times New Roman"/>
          <w:sz w:val="24"/>
          <w:szCs w:val="24"/>
        </w:rPr>
        <w:t xml:space="preserve"> Соста</w:t>
      </w:r>
      <w:r w:rsidRPr="001B5DB9">
        <w:rPr>
          <w:rFonts w:ascii="Times New Roman" w:hAnsi="Times New Roman" w:cs="Times New Roman"/>
          <w:sz w:val="24"/>
          <w:szCs w:val="24"/>
        </w:rPr>
        <w:t>вление сводного отчета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Направлен ответ Цымпиловой  Т.В на пи</w:t>
      </w:r>
      <w:r>
        <w:rPr>
          <w:rFonts w:ascii="Times New Roman" w:hAnsi="Times New Roman" w:cs="Times New Roman"/>
          <w:sz w:val="24"/>
          <w:szCs w:val="24"/>
        </w:rPr>
        <w:t xml:space="preserve">сьмо №1-7965 от 31.08.2021 года. </w:t>
      </w:r>
      <w:r w:rsidRPr="001B5DB9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во исполнение пункта 2 перечня поручений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Президента Российской Федерации от 18 сентября 2020 года N Пр-1506 (строительство и реконструкцию социальных объектов)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Ответ на обращение регионального отделения ОНФ вЗабайкальском крае от 20 декабря 2021 года N ОНФ/75/2-248/2021 года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B5DB9">
        <w:rPr>
          <w:rFonts w:ascii="Times New Roman" w:hAnsi="Times New Roman" w:cs="Times New Roman"/>
          <w:sz w:val="24"/>
          <w:szCs w:val="24"/>
        </w:rPr>
        <w:t>Предложение о разработке региональной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программы обновления материальной базы подведомственных социальных учреждений</w:t>
      </w:r>
      <w:r w:rsidR="00F80616">
        <w:rPr>
          <w:rFonts w:ascii="Times New Roman" w:hAnsi="Times New Roman" w:cs="Times New Roman"/>
          <w:sz w:val="24"/>
          <w:szCs w:val="24"/>
        </w:rPr>
        <w:t>.</w:t>
      </w:r>
    </w:p>
    <w:p w:rsidR="00F80616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Ответ в Минтруд России на письмо от 30 декабря 2021 года N 28-6/10/В-17608</w:t>
      </w:r>
      <w:r w:rsidR="00F80616"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Форма «Прогноз количества зданий стационарных учреждений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социального обслуживания, требующих реконструкции и капитального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ремонта, находящихся в ветхом и аварийном состоянии» на период с 2024 по2030 годы, размещена на официальном сайте Минтруда России</w:t>
      </w:r>
      <w:r w:rsidR="00F80616"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 xml:space="preserve">Ответ в Минтруд России на письмо N </w:t>
      </w:r>
      <w:r w:rsidR="00F80616">
        <w:rPr>
          <w:rFonts w:ascii="Times New Roman" w:hAnsi="Times New Roman" w:cs="Times New Roman"/>
          <w:sz w:val="24"/>
          <w:szCs w:val="24"/>
        </w:rPr>
        <w:t xml:space="preserve">26-3/10/В-17356 от 27.12.2021 г. 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Выполнение работ по составлению проектно-сметной документации на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восстановление летнего оздоровительного лагеря приостановлено до принятия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решений Министерством природных ресурсов Забайкальского края и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Администрацией Балейского района Забайкальского края о возможной защите территорий района от паводков.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 соответствии с планом оптимизации гос.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имущества, проведен анализ и оптимизация имущества подведомственных учреждений за 2021 год.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Предоставлена информация по оптимизации гос. имущества в Департамент гос. имущества в соответствии с  распоряжением Правительства 31.08.2016 года № 395-р «Об утверждении Плана мероприятий по оздоровлению государственных финансов Забайкальского края</w:t>
      </w:r>
      <w:r w:rsidR="00F806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Утверждены перечни особо ценного имущества бюджетных учреждений, подведомственных Министерству</w:t>
      </w:r>
      <w:r w:rsidR="00F80616"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Подготовлено распоряжение об утверждении перечней особо ценного имущества автономных учреждений в соответствии с постановлением Правительства Забайкальского края от 25 февраля 2011 года  № 53 «О порядке определения видов особо ценного движимого имущества бюджетного учреждения Забайкальского края, автономного учреждения, созданного на базе имущества, находящегося в собственности Забайкальского края, и перечней особо ценного движимого имущества указанного автономного учреждения».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Организация работы по списанию автотранспорта с Департаментом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гос. имущества и земельных отношений Забайкальского края.</w:t>
      </w:r>
      <w:r w:rsidR="00F80616">
        <w:rPr>
          <w:rFonts w:ascii="Times New Roman" w:hAnsi="Times New Roman" w:cs="Times New Roman"/>
          <w:sz w:val="24"/>
          <w:szCs w:val="24"/>
        </w:rPr>
        <w:t xml:space="preserve"> С</w:t>
      </w:r>
      <w:r w:rsidRPr="001B5DB9">
        <w:rPr>
          <w:rFonts w:ascii="Times New Roman" w:hAnsi="Times New Roman" w:cs="Times New Roman"/>
          <w:sz w:val="24"/>
          <w:szCs w:val="24"/>
        </w:rPr>
        <w:t>писано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1 транспортное средство по распоряжению  Департамента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гос. имущества и земельных отношений Забайкальского.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Ресоциализация, социальная реабилитация и адаптация лиц, освободившихся из мест лишения свободы.</w:t>
      </w:r>
      <w:r w:rsidR="00F80616"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Во исполнение протокола совещания от 24 ноября 2021 года «О развитии сети исправительных центров уголовно-исполнительной системы Российской Федерации в субъектах Российской Федерации» под председательством Министра юстиции Российской Федерации К.А.Чуйченко Минсоцзащиты Забайкальского края в Министерство экономического развития Забайкальского края направлены предложения для включения в комплекс дополнительных мер, направленных на расширение исправительных центров.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 УФСИН России по Забайкальскому краю направлена информация о предоставляемых Минсоцзащиты Забайкальского края мерах социальной поддержки, лицам, освободившимся из мест лишения свободы.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lastRenderedPageBreak/>
        <w:t>В государственные учреждения социального обслуживания направлена информация об организации взаимодействия с УФСИН России по Забайкальскому краю</w:t>
      </w:r>
    </w:p>
    <w:p w:rsidR="001B5DB9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 рамках подготовки к видеосовещанию 04 февраля 2022 года под председательством заместителя Министра юстиции Российской Федерации Вуколова В.Л. по вопросу создания исправительных центров УФСИН России о создании в 2022 году в каждом субъекте не менее 400 мест в исправительных центрах на базе регионального имущества, в Министерство экономического развития Забайкальского края направлена информация о работе с лицами освободившимися из мест лишения свободы в рамках полномочий Минсоцзащиты Забайкальского края.</w:t>
      </w:r>
    </w:p>
    <w:p w:rsidR="00B50FB6" w:rsidRPr="001B5DB9" w:rsidRDefault="001B5DB9" w:rsidP="001B5D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Организация утилизации жидких бытовых отходов ГАУСО «Сохондинский СДИ» Забайкальского края</w:t>
      </w:r>
      <w:r w:rsidRPr="001B5DB9">
        <w:rPr>
          <w:rFonts w:ascii="Times New Roman" w:hAnsi="Times New Roman" w:cs="Times New Roman"/>
          <w:sz w:val="24"/>
          <w:szCs w:val="24"/>
        </w:rPr>
        <w:tab/>
        <w:t>17.01.2022 года</w:t>
      </w:r>
      <w:r w:rsidR="00F80616">
        <w:rPr>
          <w:rFonts w:ascii="Times New Roman" w:hAnsi="Times New Roman" w:cs="Times New Roman"/>
          <w:sz w:val="24"/>
          <w:szCs w:val="24"/>
        </w:rPr>
        <w:t xml:space="preserve">. </w:t>
      </w:r>
      <w:r w:rsidRPr="001B5DB9">
        <w:rPr>
          <w:rFonts w:ascii="Times New Roman" w:hAnsi="Times New Roman" w:cs="Times New Roman"/>
          <w:sz w:val="24"/>
          <w:szCs w:val="24"/>
        </w:rPr>
        <w:t>Главе муниципального района «Читинский район» направлено письмо с просьбой организовать вывоз ЖБО ГАУСО «Сохондинский СДИ» Забайкальского края с использованием автотранспорта полученного по государственной программе Забайкальского края «Развитие жилищно-коммунального хозяйства Забайкальского края»</w:t>
      </w:r>
      <w:r w:rsidR="00F80616">
        <w:rPr>
          <w:rFonts w:ascii="Times New Roman" w:hAnsi="Times New Roman" w:cs="Times New Roman"/>
          <w:sz w:val="24"/>
          <w:szCs w:val="24"/>
        </w:rPr>
        <w:t>.</w:t>
      </w:r>
    </w:p>
    <w:p w:rsidR="00B50FB6" w:rsidRPr="001B5DB9" w:rsidRDefault="00B50FB6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9C3BE2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BE2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9C3BE2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1. проект постановления Правительства Забайкальского края «О внесении изменений в некоторые постановления Правительства Забайкальского края в сфере предоставления мер социальной поддержки» (109 и 121А) – на проведении экспертиз в ГПУ;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2. проект постановления Правительства Забайкальского края «О внесении изменений в некоторые постановления Правительства Забайкальского края, регулирующие вопросы реализации дополнительных мер, направленных на поддержку рождаемости в Забайкальском крае» (31 и 104) – на проведении экспертиз в ГПУ;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3.  проект приказа Министерства «Об утверждении Порядка и условий предоставления ежемесячной денежной выплаты на ребенка в возрасте от трех до семи лет включительно» - на согласовании в прокуратуре Забайкальского края;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4. проект приказа Министерства «Об утверждении Порядка назначения, индексации и выплаты пособия на ребенка в Забайкальском крае» - в работе.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II. Проведение комиссий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1.Комиссия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BE2">
        <w:rPr>
          <w:rFonts w:ascii="Times New Roman" w:hAnsi="Times New Roman" w:cs="Times New Roman"/>
          <w:sz w:val="24"/>
          <w:szCs w:val="24"/>
        </w:rPr>
        <w:t>предоставлению мер социальной поддержки по обеспечению жильем ветеранов, инвалидов и семей, имеющих детей – инвалидов: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 xml:space="preserve">По состоянию на 01.02.2022 года всего поставлено на учет в органах местного самоуправления – 5017 ветеранов войны, из них сняты с учета – 692. 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 xml:space="preserve">В отношении 4322 ветеранов войны приняты положительные решения. 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Всего предоставили договоры и произведена выплата 4322 человек.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составляет3 человека - приняты отказные решения в отношении - отсутствует нуждаемость.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2. подготовлены ответы на контрольные карты по исполнению полномочий.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3. подготовлены ответы на запросы и обращения граждан - 197.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IV. Работа по ЧС</w:t>
      </w:r>
    </w:p>
    <w:p w:rsidR="009C3BE2" w:rsidRPr="009C3BE2" w:rsidRDefault="009C3BE2" w:rsidP="009C3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Министерством организована работа по предоставлению компенсационных выплат согласно представленным органами местного самоуправлениям спискам, согласованным в установленном порядке с ГУ МЧС России по Забайкальскому краю и УМВД России по Забайкальскому краю по судебным решениям. Выплаты предоставленына общую сумму 62,43 млн. рублей:</w:t>
      </w:r>
    </w:p>
    <w:p w:rsidR="009C3BE2" w:rsidRPr="009C3BE2" w:rsidRDefault="009C3BE2" w:rsidP="009C3BE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lastRenderedPageBreak/>
        <w:t>единовременная материальная помощь (10,0 тыс. рублей): средства направлены 13 чел. на сумму 0,13 млн. рублей;</w:t>
      </w:r>
    </w:p>
    <w:p w:rsidR="009C3BE2" w:rsidRPr="009C3BE2" w:rsidRDefault="009C3BE2" w:rsidP="009C3BE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финансовая помощь при частичной утрате имущества (50,0 тыс. рублей): средства направлены 286чел. на сумму 14,3 млн. рублей;</w:t>
      </w:r>
    </w:p>
    <w:p w:rsidR="002E1B36" w:rsidRPr="009C3BE2" w:rsidRDefault="009C3BE2" w:rsidP="009C3BE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E2">
        <w:rPr>
          <w:rFonts w:ascii="Times New Roman" w:hAnsi="Times New Roman" w:cs="Times New Roman"/>
          <w:sz w:val="24"/>
          <w:szCs w:val="24"/>
        </w:rPr>
        <w:t>финансовая помощь при полной утрате имущества (100,0 тыс. рублей): средства направлены 480 чел. на сумму 48,0 млн. рублей.</w:t>
      </w:r>
    </w:p>
    <w:p w:rsidR="000C69E4" w:rsidRPr="001B5DB9" w:rsidRDefault="000C69E4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136E8A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8A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136E8A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 w:rsidRPr="00136E8A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1769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B5DB9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1203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566 недееспособных.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Комиссией по опеке и попечительству совершеннолетних Министерства проведено 3заседания (12.01., 18.01., 28.01.2022г.).По итогам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DB9">
        <w:rPr>
          <w:rFonts w:ascii="Times New Roman" w:hAnsi="Times New Roman" w:cs="Times New Roman"/>
          <w:sz w:val="24"/>
          <w:szCs w:val="24"/>
        </w:rPr>
        <w:t>комиссии подготовлено 119приказов Министерства.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136E8A" w:rsidRPr="001B5DB9" w:rsidRDefault="00136E8A" w:rsidP="00136E8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защиты- 15 чел.;</w:t>
      </w:r>
    </w:p>
    <w:p w:rsidR="00136E8A" w:rsidRPr="001B5DB9" w:rsidRDefault="00136E8A" w:rsidP="00136E8A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–16чел.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Подготовка и направление в ФНС сведений по установлению (прекращению) опеки и попечительства в отношении совершеннолетних недееспособных граждан – 20шт.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Сформировано 10 личных дел недееспособных граждан, направлено 1 личное дело недееспособного гражданина в другие регионы, в связи с переездом на новое место жительства.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Проверено, утверждено 8 отчетов опекунов о хранении, об использовании имущества совершеннолетних недееспособных граждан за период исполнения обязанностей опекуна.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Проверено 93акта условий жизни подопечных и исполнения опекунами своих обязанностей; 67 актов условий жизни, проживающих в ГУСО.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Подготовлено6 ответов на обращения граждан, 52 информационных письма, запросов, ответов.</w:t>
      </w:r>
    </w:p>
    <w:p w:rsidR="00136E8A" w:rsidRPr="001B5DB9" w:rsidRDefault="00136E8A" w:rsidP="00136E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5DB9">
        <w:rPr>
          <w:rFonts w:ascii="Times New Roman" w:hAnsi="Times New Roman" w:cs="Times New Roman"/>
          <w:sz w:val="24"/>
          <w:szCs w:val="24"/>
        </w:rPr>
        <w:t>Подготовка проекта приказа Министерства «О внесении изменений в отдельные приказы Министерства об утверждении административных регламентов в сфере опеки и попечительства совершеннолетних», направление на согласование.</w:t>
      </w:r>
    </w:p>
    <w:p w:rsidR="00B719B7" w:rsidRPr="001B5DB9" w:rsidRDefault="00B719B7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176E3A" w:rsidRPr="00176E3A" w:rsidTr="0014280B">
        <w:trPr>
          <w:tblHeader/>
        </w:trPr>
        <w:tc>
          <w:tcPr>
            <w:tcW w:w="2070" w:type="dxa"/>
          </w:tcPr>
          <w:p w:rsidR="00176E3A" w:rsidRPr="00176E3A" w:rsidRDefault="00176E3A" w:rsidP="00142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176E3A" w:rsidRPr="00176E3A" w:rsidRDefault="00176E3A" w:rsidP="00142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176E3A" w:rsidRPr="00176E3A" w:rsidRDefault="00176E3A" w:rsidP="00142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176E3A" w:rsidRPr="00176E3A" w:rsidRDefault="00176E3A" w:rsidP="00142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522,7 (сентябрь– ноябрь2021г.)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475,7 (сентябрь – ноябрь 2021г)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-безработныепо МОТ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47,0 (сентябрь – ноябрь 2021г )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план – 30 чел, факт – 0 чел.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На 01.02.2022 г. – 1,3%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На 01.02.2022 г. – 6 630 безработных граждан.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1февраля 2022 года уведомили органы занятости населения Забайкальского края о ликвидации, сокращении численности работников 152 предприятия, в которых предполагается к увольнению 1 080работников.Всего уволено с начала высвобождения 396человек.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проект постановления Правительства Забайкальского края «О внесении изменений в региональную программу Забайкальского края «Повышение мобильности трудовых ресурсов» 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76E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–7 чел.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0 чел.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4280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25 лет, имеющие среднее профессиональное образование и ищущие работу впервые – 0чел.</w:t>
            </w:r>
          </w:p>
        </w:tc>
      </w:tr>
      <w:tr w:rsidR="00176E3A" w:rsidRPr="00176E3A" w:rsidTr="0014280B">
        <w:trPr>
          <w:trHeight w:val="1656"/>
        </w:trPr>
        <w:tc>
          <w:tcPr>
            <w:tcW w:w="2070" w:type="dxa"/>
            <w:vMerge/>
            <w:tcBorders>
              <w:bottom w:val="single" w:sz="4" w:space="0" w:color="000000" w:themeColor="text1"/>
            </w:tcBorders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76E3A" w:rsidRPr="00176E3A" w:rsidRDefault="00176E3A" w:rsidP="00176E3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 в части квоты</w:t>
            </w:r>
          </w:p>
        </w:tc>
        <w:tc>
          <w:tcPr>
            <w:tcW w:w="40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/>
                <w:sz w:val="24"/>
                <w:szCs w:val="24"/>
              </w:rPr>
              <w:t>С начала года выдано 4 заключения о привлечении и об использовании 5 иностранных работников, из них 3 чел. по внеквотным профессиям; отказов в привлечении иностранных работников не выдавалось.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76E3A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подготовке заседания Межведомственной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 Забайкальского края по вопросам привлечения и использования иностранных работников, на котором планируется рассмотреть:</w:t>
            </w:r>
          </w:p>
          <w:p w:rsidR="00176E3A" w:rsidRPr="00176E3A" w:rsidRDefault="00176E3A" w:rsidP="00176E3A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11 заявок о потребности в привлечении 315 иностранных работников на 2023 г.;</w:t>
            </w:r>
          </w:p>
          <w:p w:rsidR="00176E3A" w:rsidRPr="00176E3A" w:rsidRDefault="00176E3A" w:rsidP="00176E3A">
            <w:pPr>
              <w:keepNext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 заявки об увеличении потребности в привлечении 96 иностранных работников на 2022 г.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176E3A" w:rsidRPr="00176E3A" w:rsidRDefault="00176E3A" w:rsidP="00142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6.Организация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Сотрудниками отделов центра занятости организовано 2 ярмарок вакансий и учебных рабочих мест, трудоустроено после участия в ярмарках вакансий – 0 чел.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7.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230 чел.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8.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235 чел.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9. Содействие самозанятости безработных граждан 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4280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46 гр-н получили консультационные услуги по содействию самозанятости безработных граждан.</w:t>
            </w:r>
          </w:p>
          <w:p w:rsidR="00176E3A" w:rsidRPr="00176E3A" w:rsidRDefault="00176E3A" w:rsidP="0014280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 безработных граждан получили единовременную финансовую помощь на открытие собственного дела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10. Организация профессионального обучения и дополнительного профессионального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Приступили к профессиональному обучению и дополнительному профессиональному 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 безработных граждан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образование: 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-женщин в период отпуска по уходу за ребенком до достижения им возраста трех лет - 0;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- граждан пенсионного возраста – 0.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12.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 -1459 ед.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13. Подготовка уведомлений работодателям Забайкальского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января 2022 года  подготовлено 6 уведомления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14. Подготовка уведомлений по переселению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Cs/>
                <w:sz w:val="24"/>
                <w:szCs w:val="24"/>
              </w:rPr>
              <w:t>15.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на 2022 год – 80 чел. (в том числе 30 – участников и 50 – членов их семей).</w:t>
            </w:r>
          </w:p>
          <w:p w:rsidR="00176E3A" w:rsidRPr="00176E3A" w:rsidRDefault="00176E3A" w:rsidP="0014280B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2022 года для участия в г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176E3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 Министерство поступило 2 заявления от соотечественников, постоянно проживающих на территории Забайкальского края.Из 2 заявлений положительно рассмотренных  заявлений- 1, одно находится на рассмотрении. </w:t>
            </w:r>
          </w:p>
          <w:p w:rsidR="00176E3A" w:rsidRPr="00176E3A" w:rsidRDefault="00176E3A" w:rsidP="0014280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 2022 года численность прибывших граждан составила 5 чел. (6,3 % от плана), в том числе 2 участника и 3 члена их семей. Все соотечественники – постоянно или временно проживали в РФ на законном основании.</w:t>
            </w:r>
          </w:p>
          <w:p w:rsidR="00176E3A" w:rsidRPr="00176E3A" w:rsidRDefault="00176E3A" w:rsidP="0014280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16.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Участие в еженедельных ВКС с Минтрудом России и Рострудом по оказанию гос. услуг в электронном виде гражданам  по содействию в поиске походящей работы, работодателям в подборе подходящих кандидатур.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17. Проекты НПА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Подготовлен и подписан приказ Министерства «Об утверждении объемов и видов общественных работ, организуемых на территории Забайкальского края, в 2022 году» от 24.01.2022г. № 81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–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80 звонков, поступивших на телефон горячей линии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 январь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шт.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надзора и контроля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176E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 Проверка сведений содержащихся в реестре получателей государственных услуг в ПК «Катарсис»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9- Ежемесячный мониторинг теневой  занятости 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распоряжения Министерства «План мероприятий по снижению уровня теневой занятости и легализации трудовых отношений  в Забайкальском крае 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на 2022-2024 годы»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E3A" w:rsidRPr="00176E3A" w:rsidTr="0014280B">
        <w:trPr>
          <w:trHeight w:val="124"/>
        </w:trPr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  Заседание краевой межведомственной комиссии по охране труда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E3A" w:rsidRPr="00176E3A" w:rsidTr="0014280B">
        <w:trPr>
          <w:trHeight w:val="124"/>
        </w:trPr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2.1. Совещания, конференции, круглые столы по вопросам охраны труда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Проведено заседание краевой конкурсной комиссии  по подведению итогов регионального конкурса «Лучшая организация работы по охране труда в Забайкальском крае» за 2021 год.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проверок органов местного самоуправления по осуществлению переданных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государственных полномочий в сфере труда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4. Проведение проверок по ведомственному контролю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По извещениям ФСС по Забайкальскому краю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вянваре 2022 года произошло 2 тяжелых несчастных случаев, из них 1 смертельный.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 Подготовлен и подписан приказ Министерства «О внесении изменений в состав краевой конкурсной комиссии по подведению итогов регионального конкурса «Лучшая организация работы по охране труда в Забайкальском крае» от 18.01.2022 № 38,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 Подготовлен и подписан «О проведении регионального конкурса  приказ Министерства «Лучшая организация работы по охране труда в Забайкальском крае» за 2021 год» от 24.01.2022 № 80;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3. Подготовлен и подписан приказ Министерства «Об утверждении плана проведения проверок деятельности органов местного самоуправления по осуществлению переданных отдельных государственных полномочий в сфере труда, на 2022 год» от 26.01.2022 № 88.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7. Отчетность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1.Проведен мониторинг  осуществления ведомственного контроля по соблюдению требований трудового законодательства и иных нормативных актов, содержащих нормы трудового права в ИОГВ и ОМСУ.</w:t>
            </w:r>
          </w:p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 Проведена оценка эффективности осуществления органами местного самоуправления муниципальных районов, муниципальных  и городских округов Забайкальского края отдельных государственных полномочий в сфере труда,</w:t>
            </w:r>
          </w:p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Подготовлен анализ деятельности органов местного самоуправления муниципальных районов и городских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округов Забайкальского края  по реализации переданных отдельных государственных полномочий </w:t>
            </w:r>
          </w:p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 сфере труда за 4 квартал.</w:t>
            </w:r>
          </w:p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4. Проведен мониторинг по обучению работодателей и работников по вопросам охраны труда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8. Другое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 Согласована дополнительная профессиональная программа «Обучение и проверка знаний требований охраны труда для руководителей и специалистов организаций» ЧПОУ «Центр подготовки кадров»,</w:t>
            </w:r>
          </w:p>
          <w:p w:rsidR="00176E3A" w:rsidRPr="00176E3A" w:rsidRDefault="00176E3A" w:rsidP="0014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 Согласована дополнительная профессиональная образовательная программа «Оценка и управление профессиональными рисками» ЧПОУ «Центр подготовки кадров».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  <w:shd w:val="clear" w:color="auto" w:fill="auto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Заседание Забайкальской краевой трехсторонней комиссии по регулированию социально-трудовых отношений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6E3A" w:rsidRPr="00176E3A" w:rsidTr="0014280B">
        <w:trPr>
          <w:trHeight w:val="3398"/>
        </w:trPr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176E3A">
              <w:rPr>
                <w:b w:val="0"/>
                <w:sz w:val="24"/>
                <w:szCs w:val="24"/>
              </w:rPr>
              <w:t>2 отчета. По данным Забайкалкрайстата просроченная задолженность по заработной плате по состоянию на 1 января 2022 г. составила 12531,0 тыс. руб. – по сравнению с 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6E3A">
              <w:rPr>
                <w:b w:val="0"/>
                <w:sz w:val="24"/>
                <w:szCs w:val="24"/>
              </w:rPr>
              <w:t>декабря 2021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76E3A">
              <w:rPr>
                <w:b w:val="0"/>
                <w:sz w:val="24"/>
                <w:szCs w:val="24"/>
              </w:rPr>
              <w:t>г. увеличилась на 45,0 тыс. руб. (на 0,3 %), по сравнению с 1 января 2021 г. уменьшилась на 2823,0 тыс. руб. (на 18,3%).Просроченная задолженность в учреждениях бюджетной сферы Забайкальского края по состоянию на 1 января 2022 г. отсутствует.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5.Мониторинг достижения </w:t>
            </w: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1.Подготовлен проект постановления Правительства Забайкальского края «Об утверждении порядка и размеров возмещения ра</w:t>
            </w:r>
            <w:bookmarkStart w:id="0" w:name="_GoBack"/>
            <w:bookmarkEnd w:id="0"/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сходов, связанных со служебными командировками, работникам государственных органов Забайкальского края, территориального фонда обязательного медицинского страхования Забайкальского края и государственных учреждений Забайкальского края».</w:t>
            </w:r>
          </w:p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2.Доработка и согласование проекта закона Забайкальского края «О внесении изменений в Закон Забайкальского края «Об оплате труда работников государственных учреждений Забайкальского края».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6E3A" w:rsidRPr="00176E3A" w:rsidTr="0014280B">
        <w:tc>
          <w:tcPr>
            <w:tcW w:w="2070" w:type="dxa"/>
            <w:vMerge w:val="restart"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3A" w:rsidRPr="00176E3A" w:rsidTr="008323ED">
        <w:trPr>
          <w:trHeight w:val="60"/>
        </w:trPr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E3A" w:rsidRPr="00176E3A" w:rsidTr="0014280B">
        <w:tc>
          <w:tcPr>
            <w:tcW w:w="2070" w:type="dxa"/>
            <w:vMerge/>
          </w:tcPr>
          <w:p w:rsidR="00176E3A" w:rsidRPr="00176E3A" w:rsidRDefault="00176E3A" w:rsidP="00142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E3A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176E3A" w:rsidRPr="00176E3A" w:rsidRDefault="00176E3A" w:rsidP="00176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E3A" w:rsidRPr="001B5DB9" w:rsidRDefault="00176E3A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066" w:rsidRPr="00F80616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616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F80616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F80616" w:rsidRDefault="00F8061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Подготовка дополнительных соглашений на финансовое обеспечение выполнения государственного задания – 56</w:t>
      </w:r>
    </w:p>
    <w:p w:rsidR="00F80616" w:rsidRDefault="00F8061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80616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0616" w:rsidRPr="00F80616" w:rsidRDefault="00F80616" w:rsidP="00F8061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80616">
        <w:rPr>
          <w:rFonts w:ascii="Times New Roman" w:hAnsi="Times New Roman" w:cs="Times New Roman"/>
          <w:sz w:val="24"/>
          <w:szCs w:val="24"/>
        </w:rPr>
        <w:t>аявки на финансирование заработной платы за январь 2022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F80616" w:rsidRPr="00F80616" w:rsidRDefault="00F80616" w:rsidP="00F8061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lastRenderedPageBreak/>
        <w:t>заявки на финансирование аванса за январь 2022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</w:p>
    <w:p w:rsidR="00F80616" w:rsidRPr="00F80616" w:rsidRDefault="00F80616" w:rsidP="00F8061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</w:p>
    <w:p w:rsidR="00F80616" w:rsidRPr="00F80616" w:rsidRDefault="00F80616" w:rsidP="00F8061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Заявка на финансирование расходов по питанию и государственных гарантий детям сиротам (по учреждениям социального обслуживания)</w:t>
      </w:r>
    </w:p>
    <w:p w:rsidR="00F80616" w:rsidRPr="00F80616" w:rsidRDefault="00F80616" w:rsidP="00F80616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616" w:rsidRDefault="00F8061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Составлен кассовый план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2022 г. на февраль 2022 г. – 2.</w:t>
      </w:r>
    </w:p>
    <w:p w:rsid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80616">
        <w:rPr>
          <w:rFonts w:ascii="Times New Roman" w:hAnsi="Times New Roman" w:cs="Times New Roman"/>
          <w:sz w:val="24"/>
          <w:szCs w:val="24"/>
        </w:rPr>
        <w:t>Подготовка сведений для принятия (внесения изменений)  бюджетных обязательств в програмном комплексе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казначейства СУФД – </w:t>
      </w:r>
      <w:r w:rsidRPr="00F80616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80616">
        <w:rPr>
          <w:rFonts w:ascii="Times New Roman" w:hAnsi="Times New Roman" w:cs="Times New Roman"/>
          <w:sz w:val="24"/>
          <w:szCs w:val="24"/>
        </w:rPr>
        <w:t>Распределение поступившего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по учреждениям – 5.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80616">
        <w:rPr>
          <w:rFonts w:ascii="Times New Roman" w:hAnsi="Times New Roman" w:cs="Times New Roman"/>
          <w:sz w:val="24"/>
          <w:szCs w:val="24"/>
        </w:rPr>
        <w:t>Ведение бюджетной росписи в программном комплексе Смарт-бюджет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80616">
        <w:rPr>
          <w:rFonts w:ascii="Times New Roman" w:hAnsi="Times New Roman" w:cs="Times New Roman"/>
          <w:sz w:val="24"/>
          <w:szCs w:val="24"/>
        </w:rPr>
        <w:t>сформирована бюджетная роспись на 2022 год, подготовлена 1 справка-уведомление для перемещения бюджетных ассигнований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80616">
        <w:rPr>
          <w:rFonts w:ascii="Times New Roman" w:hAnsi="Times New Roman" w:cs="Times New Roman"/>
          <w:sz w:val="24"/>
          <w:szCs w:val="24"/>
        </w:rPr>
        <w:t>Формирование реестра учреждений социального обслуживания в программном комплексе ФСС для подготовки выплат стимулирующего характера (21 учреждение)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806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Нормативная штатная численность и оплата труда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 xml:space="preserve">Подготовлен приказ о нормативной </w:t>
      </w:r>
      <w:r>
        <w:rPr>
          <w:rFonts w:ascii="Times New Roman" w:hAnsi="Times New Roman" w:cs="Times New Roman"/>
          <w:sz w:val="24"/>
          <w:szCs w:val="24"/>
        </w:rPr>
        <w:t xml:space="preserve">штатной численности на 2022 год – </w:t>
      </w:r>
      <w:r w:rsidRPr="00F80616">
        <w:rPr>
          <w:rFonts w:ascii="Times New Roman" w:hAnsi="Times New Roman" w:cs="Times New Roman"/>
          <w:sz w:val="24"/>
          <w:szCs w:val="24"/>
        </w:rPr>
        <w:t>1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Сбор справок о размере заработной платы руководителей учре</w:t>
      </w:r>
      <w:r>
        <w:rPr>
          <w:rFonts w:ascii="Times New Roman" w:hAnsi="Times New Roman" w:cs="Times New Roman"/>
          <w:sz w:val="24"/>
          <w:szCs w:val="24"/>
        </w:rPr>
        <w:t xml:space="preserve">ждений социального обслуживания – </w:t>
      </w:r>
      <w:r w:rsidRPr="00F80616">
        <w:rPr>
          <w:rFonts w:ascii="Times New Roman" w:hAnsi="Times New Roman" w:cs="Times New Roman"/>
          <w:sz w:val="24"/>
          <w:szCs w:val="24"/>
        </w:rPr>
        <w:t>58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Проверка и утверждение штатных расписаний на 2022 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80616">
        <w:rPr>
          <w:rFonts w:ascii="Times New Roman" w:hAnsi="Times New Roman" w:cs="Times New Roman"/>
          <w:sz w:val="24"/>
          <w:szCs w:val="24"/>
        </w:rPr>
        <w:t>58</w:t>
      </w:r>
    </w:p>
    <w:p w:rsidR="00530F00" w:rsidRPr="00176E3A" w:rsidRDefault="00F80616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E3A">
        <w:rPr>
          <w:rFonts w:ascii="Times New Roman" w:hAnsi="Times New Roman" w:cs="Times New Roman"/>
          <w:sz w:val="24"/>
          <w:szCs w:val="24"/>
        </w:rPr>
        <w:t>Сбор, формирование и предоставление отчетности: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</w:t>
      </w:r>
      <w:r w:rsidR="00176E3A">
        <w:rPr>
          <w:rFonts w:ascii="Times New Roman" w:hAnsi="Times New Roman" w:cs="Times New Roman"/>
          <w:sz w:val="24"/>
          <w:szCs w:val="24"/>
        </w:rPr>
        <w:t xml:space="preserve">ориям персонала») за 2021 год – </w:t>
      </w:r>
      <w:r w:rsidRPr="00F80616">
        <w:rPr>
          <w:rFonts w:ascii="Times New Roman" w:hAnsi="Times New Roman" w:cs="Times New Roman"/>
          <w:sz w:val="24"/>
          <w:szCs w:val="24"/>
        </w:rPr>
        <w:t>сбор информации от 56 учреждений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Ежемесячная информация в Министерство труда и социальной защиты РФ о работе «горячей линии» за 4 квартал 2021 года</w:t>
      </w:r>
      <w:r w:rsidR="00176E3A">
        <w:rPr>
          <w:rFonts w:ascii="Times New Roman" w:hAnsi="Times New Roman" w:cs="Times New Roman"/>
          <w:sz w:val="24"/>
          <w:szCs w:val="24"/>
        </w:rPr>
        <w:t xml:space="preserve"> – </w:t>
      </w:r>
      <w:r w:rsidRPr="00F80616">
        <w:rPr>
          <w:rFonts w:ascii="Times New Roman" w:hAnsi="Times New Roman" w:cs="Times New Roman"/>
          <w:sz w:val="24"/>
          <w:szCs w:val="24"/>
        </w:rPr>
        <w:t>1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 xml:space="preserve"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</w:t>
      </w:r>
      <w:r w:rsidR="00176E3A" w:rsidRPr="00F80616">
        <w:rPr>
          <w:rFonts w:ascii="Times New Roman" w:hAnsi="Times New Roman" w:cs="Times New Roman"/>
          <w:sz w:val="24"/>
          <w:szCs w:val="24"/>
        </w:rPr>
        <w:t>рассчитанных</w:t>
      </w:r>
      <w:r w:rsidRPr="00F80616">
        <w:rPr>
          <w:rFonts w:ascii="Times New Roman" w:hAnsi="Times New Roman" w:cs="Times New Roman"/>
          <w:sz w:val="24"/>
          <w:szCs w:val="24"/>
        </w:rPr>
        <w:t xml:space="preserve">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</w:t>
      </w:r>
      <w:r w:rsidR="00176E3A">
        <w:rPr>
          <w:rFonts w:ascii="Times New Roman" w:hAnsi="Times New Roman" w:cs="Times New Roman"/>
          <w:sz w:val="24"/>
          <w:szCs w:val="24"/>
        </w:rPr>
        <w:t xml:space="preserve">. </w:t>
      </w:r>
      <w:r w:rsidRPr="00F80616">
        <w:rPr>
          <w:rFonts w:ascii="Times New Roman" w:hAnsi="Times New Roman" w:cs="Times New Roman"/>
          <w:sz w:val="24"/>
          <w:szCs w:val="24"/>
        </w:rPr>
        <w:t>Размещено в информационной системе Минтруда РФ 1отчет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Сбор и свод квартальной отчетности (отчет по производству продукции подсобных хозяйств, Отчет о потреблении энергоресурсов, Отчет о платных услугах на дому, отчет об исполнении плана ФХД)</w:t>
      </w:r>
      <w:r w:rsidRPr="00F80616">
        <w:rPr>
          <w:rFonts w:ascii="Times New Roman" w:hAnsi="Times New Roman" w:cs="Times New Roman"/>
          <w:sz w:val="24"/>
          <w:szCs w:val="24"/>
        </w:rPr>
        <w:tab/>
        <w:t>224(проверка отчетов каждого учреждения)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Проведение мониторинга заработной платы социальных работников за январь- декабрь 2020 г.</w:t>
      </w:r>
      <w:r w:rsidR="00176E3A">
        <w:rPr>
          <w:rFonts w:ascii="Times New Roman" w:hAnsi="Times New Roman" w:cs="Times New Roman"/>
          <w:sz w:val="24"/>
          <w:szCs w:val="24"/>
        </w:rPr>
        <w:t xml:space="preserve"> – </w:t>
      </w:r>
      <w:r w:rsidRPr="00F80616">
        <w:rPr>
          <w:rFonts w:ascii="Times New Roman" w:hAnsi="Times New Roman" w:cs="Times New Roman"/>
          <w:sz w:val="24"/>
          <w:szCs w:val="24"/>
        </w:rPr>
        <w:t>1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 xml:space="preserve">Ежемесячные отчеты об исполнении  бюджета, плана ФХД в программном комплексе "Свод-Смарт" </w:t>
      </w:r>
      <w:r w:rsidR="00176E3A">
        <w:rPr>
          <w:rFonts w:ascii="Times New Roman" w:hAnsi="Times New Roman" w:cs="Times New Roman"/>
          <w:sz w:val="24"/>
          <w:szCs w:val="24"/>
        </w:rPr>
        <w:t xml:space="preserve">– </w:t>
      </w:r>
      <w:r w:rsidRPr="00F80616">
        <w:rPr>
          <w:rFonts w:ascii="Times New Roman" w:hAnsi="Times New Roman" w:cs="Times New Roman"/>
          <w:sz w:val="24"/>
          <w:szCs w:val="24"/>
        </w:rPr>
        <w:t>8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 xml:space="preserve">Еженедельный отчет "Информация о дополнительных непокрытых расходах бюджета региона, связанных с пандемией коронавируса и изменением ситуации на мировых рынках (в экономике региона)" в программном комплексе "Свод-Смарт" </w:t>
      </w:r>
      <w:r w:rsidR="00176E3A">
        <w:rPr>
          <w:rFonts w:ascii="Times New Roman" w:hAnsi="Times New Roman" w:cs="Times New Roman"/>
          <w:sz w:val="24"/>
          <w:szCs w:val="24"/>
        </w:rPr>
        <w:t xml:space="preserve">– </w:t>
      </w:r>
      <w:r w:rsidRPr="00F80616">
        <w:rPr>
          <w:rFonts w:ascii="Times New Roman" w:hAnsi="Times New Roman" w:cs="Times New Roman"/>
          <w:sz w:val="24"/>
          <w:szCs w:val="24"/>
        </w:rPr>
        <w:t>1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P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Прием готовых отчетов</w:t>
      </w:r>
      <w:r w:rsidR="00176E3A">
        <w:rPr>
          <w:rFonts w:ascii="Times New Roman" w:hAnsi="Times New Roman" w:cs="Times New Roman"/>
          <w:sz w:val="24"/>
          <w:szCs w:val="24"/>
        </w:rPr>
        <w:t xml:space="preserve"> – </w:t>
      </w:r>
      <w:r w:rsidRPr="00F80616">
        <w:rPr>
          <w:rFonts w:ascii="Times New Roman" w:hAnsi="Times New Roman" w:cs="Times New Roman"/>
          <w:sz w:val="24"/>
          <w:szCs w:val="24"/>
        </w:rPr>
        <w:t>56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F80616" w:rsidRDefault="00F80616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616">
        <w:rPr>
          <w:rFonts w:ascii="Times New Roman" w:hAnsi="Times New Roman" w:cs="Times New Roman"/>
          <w:sz w:val="24"/>
          <w:szCs w:val="24"/>
        </w:rPr>
        <w:t>Проверка план</w:t>
      </w:r>
      <w:r w:rsidR="00176E3A">
        <w:rPr>
          <w:rFonts w:ascii="Times New Roman" w:hAnsi="Times New Roman" w:cs="Times New Roman"/>
          <w:sz w:val="24"/>
          <w:szCs w:val="24"/>
        </w:rPr>
        <w:t xml:space="preserve">ов ФХД за 2021 год, на 2022 год – </w:t>
      </w:r>
      <w:r w:rsidRPr="00F80616">
        <w:rPr>
          <w:rFonts w:ascii="Times New Roman" w:hAnsi="Times New Roman" w:cs="Times New Roman"/>
          <w:sz w:val="24"/>
          <w:szCs w:val="24"/>
        </w:rPr>
        <w:t>56</w:t>
      </w:r>
      <w:r w:rsidR="00176E3A">
        <w:rPr>
          <w:rFonts w:ascii="Times New Roman" w:hAnsi="Times New Roman" w:cs="Times New Roman"/>
          <w:sz w:val="24"/>
          <w:szCs w:val="24"/>
        </w:rPr>
        <w:t>.</w:t>
      </w:r>
    </w:p>
    <w:p w:rsidR="00176E3A" w:rsidRDefault="00176E3A" w:rsidP="00F8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E3A">
        <w:rPr>
          <w:rFonts w:ascii="Times New Roman" w:hAnsi="Times New Roman" w:cs="Times New Roman"/>
          <w:sz w:val="24"/>
          <w:szCs w:val="24"/>
        </w:rPr>
        <w:t>Подготовка ответов на запросы исполнительных органов Забайкальского края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6E3A" w:rsidRPr="00176E3A" w:rsidRDefault="00176E3A" w:rsidP="0017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E3A">
        <w:rPr>
          <w:rFonts w:ascii="Times New Roman" w:hAnsi="Times New Roman" w:cs="Times New Roman"/>
          <w:sz w:val="24"/>
          <w:szCs w:val="24"/>
        </w:rPr>
        <w:lastRenderedPageBreak/>
        <w:t>Министерство финансов Забайкальского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6E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E3A" w:rsidRDefault="00176E3A" w:rsidP="0017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E3A">
        <w:rPr>
          <w:rFonts w:ascii="Times New Roman" w:hAnsi="Times New Roman" w:cs="Times New Roman"/>
          <w:sz w:val="24"/>
          <w:szCs w:val="24"/>
        </w:rPr>
        <w:t>подготовлен ответ на запрос управления труда Министерства по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олнительной потребности на МРОТ – </w:t>
      </w:r>
      <w:r w:rsidRPr="00176E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E3A" w:rsidRDefault="00176E3A" w:rsidP="0017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E3A">
        <w:rPr>
          <w:rFonts w:ascii="Times New Roman" w:hAnsi="Times New Roman" w:cs="Times New Roman"/>
          <w:sz w:val="24"/>
          <w:szCs w:val="24"/>
        </w:rPr>
        <w:t xml:space="preserve">Подготовка ответов на </w:t>
      </w:r>
      <w:r>
        <w:rPr>
          <w:rFonts w:ascii="Times New Roman" w:hAnsi="Times New Roman" w:cs="Times New Roman"/>
          <w:sz w:val="24"/>
          <w:szCs w:val="24"/>
        </w:rPr>
        <w:t>обращения граждан – 1.</w:t>
      </w:r>
    </w:p>
    <w:p w:rsidR="00176E3A" w:rsidRDefault="00176E3A" w:rsidP="00176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9F0" w:rsidRPr="001B5DB9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B5DB9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1B5DB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1B5DB9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Формирование отчетности в ПК «Свод-Смарт» (ф. 127, 128, 324, 387) за 2021 год.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Подготовка уведомлений и доведение бюджетных ассигнований и лимитов бюджетных обязательств по получателей бюджетных средств (государственных учреждений, бюджетов муниципальных районов, городских округов) на 2021 год и плановый период 2022-2023 годов.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Формирование сведений в СУФД об объемах бюджетных обязательствах по предоставлению субвенций в бюджеты муниципальных районов, городских округов на 2022 год.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Формирование уточненного реестра расходных обязательств за 2021 год и плановый период 2022-2024 годы.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 xml:space="preserve">Направлены предложения в Минфин ЗК по внесению изменений в сводную бюджетную роспись в части присвоения аналитических кодов средствам федерального бюджета; обеспечения уровня софинансирования по отдельным расходным обязательствам Забайкальского края на 2022-2024 годы. 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 xml:space="preserve">Сверка уточненных и плановых объемов бюджетных ассигнований для внесения изменений в государственную программу Забайкальского края «Социальная поддержка граждан». 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Подготовлена информация по показателям и размерам произведенных расходов по расходным обязательствам ЗК, софинансируемым из федерального бюджета; информация о расходах, направляемых на государственную поддержку семьи и детей.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1B5DB9" w:rsidRPr="001B5DB9" w:rsidRDefault="001B5DB9" w:rsidP="001B5DB9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формирование уточненного кассового плана, в том числе по нац. проекту;</w:t>
      </w:r>
    </w:p>
    <w:p w:rsidR="001B5DB9" w:rsidRPr="001B5DB9" w:rsidRDefault="001B5DB9" w:rsidP="001B5DB9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подготовка заявок на финансирование;</w:t>
      </w:r>
    </w:p>
    <w:p w:rsidR="001B5DB9" w:rsidRPr="001B5DB9" w:rsidRDefault="001B5DB9" w:rsidP="001B5DB9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подготовка заявок в ФОИВы на открытие ПОФов;</w:t>
      </w:r>
    </w:p>
    <w:p w:rsidR="001B5DB9" w:rsidRPr="001B5DB9" w:rsidRDefault="001B5DB9" w:rsidP="001B5DB9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Согласование проекта Постановления Правительства Забайкальского края  «О внесении изменений в некоторые постановления Правительства Забайкальского края, регулирующие предоставление субвенций из бюджета Забайкальского края.</w:t>
      </w:r>
    </w:p>
    <w:p w:rsidR="00D21656" w:rsidRDefault="001B5DB9" w:rsidP="001B5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5DB9">
        <w:rPr>
          <w:rFonts w:ascii="Times New Roman" w:hAnsi="Times New Roman"/>
          <w:sz w:val="24"/>
          <w:szCs w:val="24"/>
        </w:rPr>
        <w:t>Подготовлена информация в рамках проверки освоения средств Резервного фонда Правительства Забайкальского края.</w:t>
      </w:r>
    </w:p>
    <w:p w:rsidR="001B5DB9" w:rsidRPr="001B5DB9" w:rsidRDefault="001B5DB9" w:rsidP="001B5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1234F7" w:rsidRPr="00C93C22" w:rsidRDefault="00D21656" w:rsidP="00123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C93C2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Подготовка отчета исполнения бюджета </w:t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 xml:space="preserve">за </w:t>
      </w:r>
      <w:r w:rsidR="001767EB" w:rsidRPr="00C93C22">
        <w:rPr>
          <w:rFonts w:ascii="Times New Roman" w:eastAsia="Times New Roman" w:hAnsi="Times New Roman"/>
          <w:bCs/>
          <w:sz w:val="24"/>
          <w:szCs w:val="24"/>
        </w:rPr>
        <w:t>январь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 2021г. в Минфин Заб. края. Количество взаимоувязанных форм - 56. 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«ИСКО», ПИК Минтруда РФ и</w:t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 xml:space="preserve"> пр. - 44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 отчетов. 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Отработка актов проверки подведомственных учреждений - </w:t>
      </w:r>
      <w:r w:rsidR="001767EB" w:rsidRPr="00C93C22">
        <w:rPr>
          <w:rFonts w:ascii="Times New Roman" w:eastAsia="Times New Roman" w:hAnsi="Times New Roman"/>
          <w:bCs/>
          <w:sz w:val="24"/>
          <w:szCs w:val="24"/>
        </w:rPr>
        <w:t>56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Подготовка писем и отработка с УФК документов по исполнительным листам - </w:t>
      </w:r>
      <w:r w:rsidR="001767EB" w:rsidRPr="00C93C22">
        <w:rPr>
          <w:rFonts w:ascii="Times New Roman" w:eastAsia="Times New Roman" w:hAnsi="Times New Roman"/>
          <w:bCs/>
          <w:sz w:val="24"/>
          <w:szCs w:val="24"/>
        </w:rPr>
        <w:t>5</w:t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>6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>Отработка лицевых счетов 01,03,04,05,14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ab/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02486" w:rsidRPr="00C93C22">
        <w:rPr>
          <w:rFonts w:ascii="Times New Roman" w:hAnsi="Times New Roman"/>
        </w:rPr>
        <w:t>Отражение операций в бухгалтерском учете методом двойной записи в количестве – 15630 бухгалтерских записей.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>Проверка отчетов подведомственных учреждений в Свод-Смарт - 13</w:t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>7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6 форм.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>Подгот</w:t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>овка информации по запросам - 5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заявой на возврат восстановленных федеральных средств в доход федерального бюджета. Кол-во уведомлений об уточнении - </w:t>
      </w:r>
      <w:r w:rsidR="00602486" w:rsidRPr="00C93C22">
        <w:rPr>
          <w:rFonts w:ascii="Times New Roman" w:eastAsia="Times New Roman" w:hAnsi="Times New Roman"/>
          <w:bCs/>
          <w:sz w:val="24"/>
          <w:szCs w:val="24"/>
        </w:rPr>
        <w:t>4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Pr="00C93C22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>Работа с ГРБС по актам сверки по МБТ – 2.</w:t>
      </w:r>
    </w:p>
    <w:p w:rsidR="00602486" w:rsidRPr="00C93C22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Принятие бюджетных и денежных обязательств в ПО СУФД – </w:t>
      </w:r>
      <w:r w:rsidR="001767EB" w:rsidRPr="00C93C22">
        <w:rPr>
          <w:rFonts w:ascii="Times New Roman" w:eastAsia="Times New Roman" w:hAnsi="Times New Roman"/>
          <w:bCs/>
          <w:sz w:val="24"/>
          <w:szCs w:val="24"/>
        </w:rPr>
        <w:t>3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4.</w:t>
      </w:r>
    </w:p>
    <w:p w:rsidR="00602486" w:rsidRPr="00C93C22" w:rsidRDefault="00602486" w:rsidP="00602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>Консультации по ведению бухгалтерского учета главных бухгалтеров подведомственных учреждений, по работе в ЭБ, методические письма по изменениям в отчетности 202</w:t>
      </w:r>
      <w:r w:rsidR="001767EB" w:rsidRPr="00C93C22">
        <w:rPr>
          <w:rFonts w:ascii="Times New Roman" w:eastAsia="Times New Roman" w:hAnsi="Times New Roman"/>
          <w:bCs/>
          <w:sz w:val="24"/>
          <w:szCs w:val="24"/>
        </w:rPr>
        <w:t xml:space="preserve">2 </w:t>
      </w:r>
      <w:r w:rsidRPr="00C93C22">
        <w:rPr>
          <w:rFonts w:ascii="Times New Roman" w:eastAsia="Times New Roman" w:hAnsi="Times New Roman"/>
          <w:bCs/>
          <w:sz w:val="24"/>
          <w:szCs w:val="24"/>
        </w:rPr>
        <w:t>г.</w:t>
      </w:r>
    </w:p>
    <w:p w:rsidR="004D739C" w:rsidRPr="00C93C22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93C22">
        <w:rPr>
          <w:rFonts w:ascii="Times New Roman" w:eastAsia="Times New Roman" w:hAnsi="Times New Roman"/>
          <w:bCs/>
          <w:sz w:val="24"/>
          <w:szCs w:val="24"/>
        </w:rPr>
        <w:t xml:space="preserve">Кол-во заявок на возврат - 22. </w:t>
      </w:r>
    </w:p>
    <w:p w:rsidR="0047174F" w:rsidRPr="001B5DB9" w:rsidRDefault="0047174F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B2032" w:rsidRPr="001B5DB9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DB9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1B5DB9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1B5DB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1B5DB9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1B5DB9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A201B3" w:rsidRPr="001B5DB9" w:rsidRDefault="001B5DB9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B5DB9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ГУСО «Улетовкий социально-реабилитационный центр для несовершеннолетних «Кедр» Забайкальского края</w:t>
      </w:r>
      <w:r w:rsidR="001112D0" w:rsidRPr="001B5DB9">
        <w:rPr>
          <w:rFonts w:ascii="Times New Roman" w:hAnsi="Times New Roman" w:cs="Times New Roman"/>
          <w:sz w:val="24"/>
          <w:szCs w:val="24"/>
        </w:rPr>
        <w:t>.</w:t>
      </w:r>
    </w:p>
    <w:p w:rsidR="001112D0" w:rsidRPr="001B5DB9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90004C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04C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90004C">
        <w:rPr>
          <w:rFonts w:ascii="Times New Roman" w:hAnsi="Times New Roman" w:cs="Times New Roman"/>
          <w:b/>
          <w:sz w:val="24"/>
          <w:szCs w:val="24"/>
        </w:rPr>
        <w:t>8</w:t>
      </w:r>
      <w:r w:rsidRPr="0090004C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Участие в судебных заседаниях в Центральном районном суде: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0004C">
        <w:rPr>
          <w:rFonts w:ascii="Times New Roman" w:hAnsi="Times New Roman" w:cs="Times New Roman"/>
          <w:sz w:val="24"/>
          <w:szCs w:val="24"/>
        </w:rPr>
        <w:t>Дети-сироты :</w:t>
      </w:r>
    </w:p>
    <w:p w:rsidR="0090004C" w:rsidRPr="0090004C" w:rsidRDefault="0090004C" w:rsidP="0090004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о включении в список детей сирот 7 дела (3 рассмотрено, 4 отложились)</w:t>
      </w:r>
    </w:p>
    <w:p w:rsidR="0090004C" w:rsidRPr="0090004C" w:rsidRDefault="0090004C" w:rsidP="0090004C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о предоставлении жилого помещений по договору спец найма-27 дел. (удовлетворено)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2)ЧС подтопление 2021 год-27 дел (удовлетворены)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3)  Иные дела, рассмотрены: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90004C" w:rsidRPr="0090004C" w:rsidRDefault="0090004C" w:rsidP="0090004C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заявления Министерства о пересмотре решения суда о предоставлении жилья ребенку-сироте, т.к. в собственности жилое помещение (отложились)</w:t>
      </w:r>
    </w:p>
    <w:p w:rsidR="0090004C" w:rsidRPr="0090004C" w:rsidRDefault="0090004C" w:rsidP="0090004C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об обязании включить в расчет пенсии за выслугу лет, оплату за работу в выходные и праздничные дни (отложились на 24.02.2022)</w:t>
      </w:r>
    </w:p>
    <w:p w:rsidR="0090004C" w:rsidRPr="0090004C" w:rsidRDefault="0090004C" w:rsidP="0090004C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 xml:space="preserve"> о признании инвалида быть поставленным на учет до 01.01.2005 год (отложились)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90004C" w:rsidRPr="0090004C" w:rsidRDefault="0090004C" w:rsidP="0090004C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О признании решения об отказе в назначении ежемесячной денежной выплаты на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Краевой суд:</w:t>
      </w:r>
    </w:p>
    <w:p w:rsidR="0090004C" w:rsidRPr="0090004C" w:rsidRDefault="0090004C" w:rsidP="0090004C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О взыскании компенсации за нарушение права на исполнение судебного акта в разумный срок 6 дел,</w:t>
      </w:r>
    </w:p>
    <w:p w:rsidR="0090004C" w:rsidRPr="0090004C" w:rsidRDefault="0090004C" w:rsidP="0090004C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участие в Краевом суде по 52 административным делам (т.е.Службой судебных приставов направлены апелляции по принятым решениям Центрального суда по обжалованию постановлений по делам об административном правонарушении в отношении Министерства и наложении административных штрафов)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0004C">
        <w:rPr>
          <w:rFonts w:ascii="Times New Roman" w:hAnsi="Times New Roman" w:cs="Times New Roman"/>
          <w:sz w:val="24"/>
          <w:szCs w:val="24"/>
        </w:rPr>
        <w:t>аявление о продлении срока 3 заявлений на (37 человек).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04C">
        <w:rPr>
          <w:rFonts w:ascii="Times New Roman" w:hAnsi="Times New Roman" w:cs="Times New Roman"/>
          <w:sz w:val="24"/>
          <w:szCs w:val="24"/>
        </w:rPr>
        <w:t>Участие в заседаниях комиссии Министерства.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7) Работа с проектами нормативно-правовых актов, поступивших в отдел от профильных отделов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8) Подготовлено 25правовых и антикоррупционных заключений на проекты НПА</w:t>
      </w:r>
    </w:p>
    <w:p w:rsidR="0090004C" w:rsidRPr="0090004C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9) подготовлены ответы на контрольные документы и иные документы</w:t>
      </w:r>
    </w:p>
    <w:p w:rsidR="008232BA" w:rsidRPr="008232BA" w:rsidRDefault="0090004C" w:rsidP="00900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4C">
        <w:rPr>
          <w:rFonts w:ascii="Times New Roman" w:hAnsi="Times New Roman" w:cs="Times New Roman"/>
          <w:sz w:val="24"/>
          <w:szCs w:val="24"/>
        </w:rPr>
        <w:t>За ноябрь месяц в юр. отдел поступило 118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DD" w:rsidRDefault="004E18DD" w:rsidP="00C66FCC">
      <w:pPr>
        <w:spacing w:after="0" w:line="240" w:lineRule="auto"/>
      </w:pPr>
      <w:r>
        <w:separator/>
      </w:r>
    </w:p>
  </w:endnote>
  <w:endnote w:type="continuationSeparator" w:id="1">
    <w:p w:rsidR="004E18DD" w:rsidRDefault="004E18DD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14280B" w:rsidRDefault="00CD2357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14280B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C93C22">
          <w:rPr>
            <w:rFonts w:ascii="Times New Roman" w:hAnsi="Times New Roman" w:cs="Times New Roman"/>
            <w:noProof/>
          </w:rPr>
          <w:t>2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DD" w:rsidRDefault="004E18DD" w:rsidP="00C66FCC">
      <w:pPr>
        <w:spacing w:after="0" w:line="240" w:lineRule="auto"/>
      </w:pPr>
      <w:r>
        <w:separator/>
      </w:r>
    </w:p>
  </w:footnote>
  <w:footnote w:type="continuationSeparator" w:id="1">
    <w:p w:rsidR="004E18DD" w:rsidRDefault="004E18DD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AD4"/>
    <w:multiLevelType w:val="hybridMultilevel"/>
    <w:tmpl w:val="C0F40BFE"/>
    <w:lvl w:ilvl="0" w:tplc="ECA29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46E8A"/>
    <w:multiLevelType w:val="hybridMultilevel"/>
    <w:tmpl w:val="CBF8A6B4"/>
    <w:lvl w:ilvl="0" w:tplc="ECA29A5A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1B4D61"/>
    <w:multiLevelType w:val="hybridMultilevel"/>
    <w:tmpl w:val="952EA984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289"/>
    <w:multiLevelType w:val="hybridMultilevel"/>
    <w:tmpl w:val="3878ACBA"/>
    <w:lvl w:ilvl="0" w:tplc="67860A08">
      <w:start w:val="4"/>
      <w:numFmt w:val="bullet"/>
      <w:lvlText w:val="•"/>
      <w:lvlJc w:val="left"/>
      <w:pPr>
        <w:ind w:left="1110" w:hanging="75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2307A"/>
    <w:multiLevelType w:val="hybridMultilevel"/>
    <w:tmpl w:val="0F10284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91723"/>
    <w:multiLevelType w:val="hybridMultilevel"/>
    <w:tmpl w:val="918E76F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A633B"/>
    <w:multiLevelType w:val="hybridMultilevel"/>
    <w:tmpl w:val="3DBA97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8223D"/>
    <w:multiLevelType w:val="hybridMultilevel"/>
    <w:tmpl w:val="7B087D2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C2313"/>
    <w:multiLevelType w:val="hybridMultilevel"/>
    <w:tmpl w:val="99C809A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C331F"/>
    <w:multiLevelType w:val="hybridMultilevel"/>
    <w:tmpl w:val="EF66A14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94E64"/>
    <w:multiLevelType w:val="hybridMultilevel"/>
    <w:tmpl w:val="1B1ECFBC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704C7"/>
    <w:multiLevelType w:val="hybridMultilevel"/>
    <w:tmpl w:val="CE8EBDA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7EE8"/>
    <w:multiLevelType w:val="hybridMultilevel"/>
    <w:tmpl w:val="D5C0A92A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CA43D33"/>
    <w:multiLevelType w:val="hybridMultilevel"/>
    <w:tmpl w:val="0CE64DB6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D036A"/>
    <w:multiLevelType w:val="hybridMultilevel"/>
    <w:tmpl w:val="5730625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A4A61"/>
    <w:multiLevelType w:val="hybridMultilevel"/>
    <w:tmpl w:val="65C6EEB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147DA"/>
    <w:multiLevelType w:val="hybridMultilevel"/>
    <w:tmpl w:val="8BBC567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0350C5"/>
    <w:multiLevelType w:val="hybridMultilevel"/>
    <w:tmpl w:val="BF5A7CFC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A22F5"/>
    <w:multiLevelType w:val="hybridMultilevel"/>
    <w:tmpl w:val="8D4E713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77E91"/>
    <w:multiLevelType w:val="hybridMultilevel"/>
    <w:tmpl w:val="C6D2DAA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310D9"/>
    <w:multiLevelType w:val="hybridMultilevel"/>
    <w:tmpl w:val="2D124F46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C60"/>
    <w:multiLevelType w:val="hybridMultilevel"/>
    <w:tmpl w:val="8AA0BA8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6736A6"/>
    <w:multiLevelType w:val="hybridMultilevel"/>
    <w:tmpl w:val="60FE5C2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C5EA8"/>
    <w:multiLevelType w:val="hybridMultilevel"/>
    <w:tmpl w:val="44E6B104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B315D9"/>
    <w:multiLevelType w:val="hybridMultilevel"/>
    <w:tmpl w:val="C8F60A9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D6E6C"/>
    <w:multiLevelType w:val="hybridMultilevel"/>
    <w:tmpl w:val="DC28A59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B72CD"/>
    <w:multiLevelType w:val="hybridMultilevel"/>
    <w:tmpl w:val="F2B25ED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4538F"/>
    <w:multiLevelType w:val="hybridMultilevel"/>
    <w:tmpl w:val="9364F32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B50F3"/>
    <w:multiLevelType w:val="hybridMultilevel"/>
    <w:tmpl w:val="6292DC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2646E"/>
    <w:multiLevelType w:val="hybridMultilevel"/>
    <w:tmpl w:val="5804F2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E0F93"/>
    <w:multiLevelType w:val="hybridMultilevel"/>
    <w:tmpl w:val="5B3EBF5E"/>
    <w:lvl w:ilvl="0" w:tplc="ECA29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A0A4B"/>
    <w:multiLevelType w:val="hybridMultilevel"/>
    <w:tmpl w:val="02469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723ECC"/>
    <w:multiLevelType w:val="hybridMultilevel"/>
    <w:tmpl w:val="407649B0"/>
    <w:lvl w:ilvl="0" w:tplc="CB3A203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6E397A"/>
    <w:multiLevelType w:val="hybridMultilevel"/>
    <w:tmpl w:val="1FA8DEEE"/>
    <w:lvl w:ilvl="0" w:tplc="ECA29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6344A"/>
    <w:multiLevelType w:val="hybridMultilevel"/>
    <w:tmpl w:val="4F886BB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42555"/>
    <w:multiLevelType w:val="hybridMultilevel"/>
    <w:tmpl w:val="E5B28B1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A11D7"/>
    <w:multiLevelType w:val="hybridMultilevel"/>
    <w:tmpl w:val="302458AE"/>
    <w:lvl w:ilvl="0" w:tplc="ECA29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7259A"/>
    <w:multiLevelType w:val="hybridMultilevel"/>
    <w:tmpl w:val="8CD406E8"/>
    <w:lvl w:ilvl="0" w:tplc="ECA29A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10645"/>
    <w:multiLevelType w:val="hybridMultilevel"/>
    <w:tmpl w:val="788274B8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2"/>
  </w:num>
  <w:num w:numId="4">
    <w:abstractNumId w:val="1"/>
  </w:num>
  <w:num w:numId="5">
    <w:abstractNumId w:val="40"/>
  </w:num>
  <w:num w:numId="6">
    <w:abstractNumId w:val="29"/>
  </w:num>
  <w:num w:numId="7">
    <w:abstractNumId w:val="36"/>
  </w:num>
  <w:num w:numId="8">
    <w:abstractNumId w:val="41"/>
  </w:num>
  <w:num w:numId="9">
    <w:abstractNumId w:val="39"/>
  </w:num>
  <w:num w:numId="10">
    <w:abstractNumId w:val="37"/>
  </w:num>
  <w:num w:numId="11">
    <w:abstractNumId w:val="45"/>
  </w:num>
  <w:num w:numId="12">
    <w:abstractNumId w:val="44"/>
  </w:num>
  <w:num w:numId="13">
    <w:abstractNumId w:val="6"/>
  </w:num>
  <w:num w:numId="14">
    <w:abstractNumId w:val="30"/>
  </w:num>
  <w:num w:numId="15">
    <w:abstractNumId w:val="32"/>
  </w:num>
  <w:num w:numId="16">
    <w:abstractNumId w:val="8"/>
  </w:num>
  <w:num w:numId="17">
    <w:abstractNumId w:val="7"/>
  </w:num>
  <w:num w:numId="18">
    <w:abstractNumId w:val="33"/>
  </w:num>
  <w:num w:numId="19">
    <w:abstractNumId w:val="28"/>
  </w:num>
  <w:num w:numId="20">
    <w:abstractNumId w:val="24"/>
  </w:num>
  <w:num w:numId="21">
    <w:abstractNumId w:val="27"/>
  </w:num>
  <w:num w:numId="22">
    <w:abstractNumId w:val="22"/>
  </w:num>
  <w:num w:numId="23">
    <w:abstractNumId w:val="17"/>
  </w:num>
  <w:num w:numId="24">
    <w:abstractNumId w:val="20"/>
  </w:num>
  <w:num w:numId="25">
    <w:abstractNumId w:val="10"/>
  </w:num>
  <w:num w:numId="26">
    <w:abstractNumId w:val="31"/>
  </w:num>
  <w:num w:numId="27">
    <w:abstractNumId w:val="12"/>
  </w:num>
  <w:num w:numId="28">
    <w:abstractNumId w:val="35"/>
  </w:num>
  <w:num w:numId="29">
    <w:abstractNumId w:val="43"/>
  </w:num>
  <w:num w:numId="30">
    <w:abstractNumId w:val="46"/>
  </w:num>
  <w:num w:numId="31">
    <w:abstractNumId w:val="5"/>
  </w:num>
  <w:num w:numId="32">
    <w:abstractNumId w:val="48"/>
  </w:num>
  <w:num w:numId="33">
    <w:abstractNumId w:val="4"/>
  </w:num>
  <w:num w:numId="34">
    <w:abstractNumId w:val="16"/>
  </w:num>
  <w:num w:numId="35">
    <w:abstractNumId w:val="34"/>
  </w:num>
  <w:num w:numId="36">
    <w:abstractNumId w:val="0"/>
  </w:num>
  <w:num w:numId="37">
    <w:abstractNumId w:val="21"/>
  </w:num>
  <w:num w:numId="38">
    <w:abstractNumId w:val="2"/>
  </w:num>
  <w:num w:numId="39">
    <w:abstractNumId w:val="38"/>
  </w:num>
  <w:num w:numId="40">
    <w:abstractNumId w:val="47"/>
  </w:num>
  <w:num w:numId="41">
    <w:abstractNumId w:val="11"/>
  </w:num>
  <w:num w:numId="42">
    <w:abstractNumId w:val="25"/>
  </w:num>
  <w:num w:numId="43">
    <w:abstractNumId w:val="14"/>
  </w:num>
  <w:num w:numId="44">
    <w:abstractNumId w:val="18"/>
  </w:num>
  <w:num w:numId="45">
    <w:abstractNumId w:val="19"/>
  </w:num>
  <w:num w:numId="46">
    <w:abstractNumId w:val="26"/>
  </w:num>
  <w:num w:numId="47">
    <w:abstractNumId w:val="3"/>
  </w:num>
  <w:num w:numId="48">
    <w:abstractNumId w:val="23"/>
  </w:num>
  <w:num w:numId="49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07713"/>
    <w:rsid w:val="0004627C"/>
    <w:rsid w:val="00071F6A"/>
    <w:rsid w:val="0009384C"/>
    <w:rsid w:val="000A342B"/>
    <w:rsid w:val="000B43B8"/>
    <w:rsid w:val="000B6558"/>
    <w:rsid w:val="000C69E4"/>
    <w:rsid w:val="000D0537"/>
    <w:rsid w:val="000E2586"/>
    <w:rsid w:val="000E3E17"/>
    <w:rsid w:val="000F00F4"/>
    <w:rsid w:val="00102087"/>
    <w:rsid w:val="001112D0"/>
    <w:rsid w:val="001234F7"/>
    <w:rsid w:val="001300F8"/>
    <w:rsid w:val="00130580"/>
    <w:rsid w:val="001355AF"/>
    <w:rsid w:val="00136E8A"/>
    <w:rsid w:val="0014280B"/>
    <w:rsid w:val="00146AEE"/>
    <w:rsid w:val="001559F0"/>
    <w:rsid w:val="00156EF4"/>
    <w:rsid w:val="00161238"/>
    <w:rsid w:val="0017233C"/>
    <w:rsid w:val="001767EB"/>
    <w:rsid w:val="00176E3A"/>
    <w:rsid w:val="00192542"/>
    <w:rsid w:val="00194C15"/>
    <w:rsid w:val="001A37DD"/>
    <w:rsid w:val="001B5DB9"/>
    <w:rsid w:val="001C0C7E"/>
    <w:rsid w:val="001E3AA2"/>
    <w:rsid w:val="001E78CB"/>
    <w:rsid w:val="00201AD4"/>
    <w:rsid w:val="002021FC"/>
    <w:rsid w:val="002037B1"/>
    <w:rsid w:val="002154E2"/>
    <w:rsid w:val="00221910"/>
    <w:rsid w:val="002323A3"/>
    <w:rsid w:val="0023788C"/>
    <w:rsid w:val="00252347"/>
    <w:rsid w:val="00254197"/>
    <w:rsid w:val="002541CE"/>
    <w:rsid w:val="00257D90"/>
    <w:rsid w:val="00265901"/>
    <w:rsid w:val="00266CF1"/>
    <w:rsid w:val="00293B93"/>
    <w:rsid w:val="002A06DC"/>
    <w:rsid w:val="002B0531"/>
    <w:rsid w:val="002B77D6"/>
    <w:rsid w:val="002D1546"/>
    <w:rsid w:val="002E1A39"/>
    <w:rsid w:val="002E1B36"/>
    <w:rsid w:val="003161CA"/>
    <w:rsid w:val="003278E4"/>
    <w:rsid w:val="00334E7E"/>
    <w:rsid w:val="00345D6D"/>
    <w:rsid w:val="00365342"/>
    <w:rsid w:val="003778C2"/>
    <w:rsid w:val="00380CA5"/>
    <w:rsid w:val="0038115D"/>
    <w:rsid w:val="00383472"/>
    <w:rsid w:val="003850F1"/>
    <w:rsid w:val="003B3E2C"/>
    <w:rsid w:val="003B49C2"/>
    <w:rsid w:val="003B518C"/>
    <w:rsid w:val="003B6DDE"/>
    <w:rsid w:val="003C346F"/>
    <w:rsid w:val="003D5E99"/>
    <w:rsid w:val="003E429F"/>
    <w:rsid w:val="004005E8"/>
    <w:rsid w:val="00407FE2"/>
    <w:rsid w:val="00423848"/>
    <w:rsid w:val="00432CA1"/>
    <w:rsid w:val="004416E6"/>
    <w:rsid w:val="004520B5"/>
    <w:rsid w:val="00464BB8"/>
    <w:rsid w:val="00465FA4"/>
    <w:rsid w:val="0047174F"/>
    <w:rsid w:val="004732DC"/>
    <w:rsid w:val="00495DD5"/>
    <w:rsid w:val="004A312E"/>
    <w:rsid w:val="004A5FA1"/>
    <w:rsid w:val="004D739C"/>
    <w:rsid w:val="004E18DD"/>
    <w:rsid w:val="004F388C"/>
    <w:rsid w:val="004F520C"/>
    <w:rsid w:val="00500BB3"/>
    <w:rsid w:val="0051129F"/>
    <w:rsid w:val="00514DBB"/>
    <w:rsid w:val="0051529D"/>
    <w:rsid w:val="005274CC"/>
    <w:rsid w:val="00530F00"/>
    <w:rsid w:val="005440C9"/>
    <w:rsid w:val="005470BD"/>
    <w:rsid w:val="00550A8F"/>
    <w:rsid w:val="00560A44"/>
    <w:rsid w:val="00567443"/>
    <w:rsid w:val="005A1224"/>
    <w:rsid w:val="005A1DBC"/>
    <w:rsid w:val="005A4EAF"/>
    <w:rsid w:val="005B2CFC"/>
    <w:rsid w:val="005D2235"/>
    <w:rsid w:val="005F1FDC"/>
    <w:rsid w:val="005F2223"/>
    <w:rsid w:val="005F3965"/>
    <w:rsid w:val="00602486"/>
    <w:rsid w:val="00604B31"/>
    <w:rsid w:val="00610ACC"/>
    <w:rsid w:val="00611860"/>
    <w:rsid w:val="00616198"/>
    <w:rsid w:val="00620314"/>
    <w:rsid w:val="006263B2"/>
    <w:rsid w:val="0063583E"/>
    <w:rsid w:val="00641E31"/>
    <w:rsid w:val="006430EB"/>
    <w:rsid w:val="00644D6C"/>
    <w:rsid w:val="006461DD"/>
    <w:rsid w:val="00653940"/>
    <w:rsid w:val="00653F1D"/>
    <w:rsid w:val="00663B6F"/>
    <w:rsid w:val="00696C1D"/>
    <w:rsid w:val="006A316C"/>
    <w:rsid w:val="006A3703"/>
    <w:rsid w:val="006A654B"/>
    <w:rsid w:val="006B7FD5"/>
    <w:rsid w:val="007135AA"/>
    <w:rsid w:val="007156D9"/>
    <w:rsid w:val="00716C84"/>
    <w:rsid w:val="0072086B"/>
    <w:rsid w:val="0072299E"/>
    <w:rsid w:val="0073391C"/>
    <w:rsid w:val="00743440"/>
    <w:rsid w:val="00750EE2"/>
    <w:rsid w:val="00761077"/>
    <w:rsid w:val="0077080A"/>
    <w:rsid w:val="0077438F"/>
    <w:rsid w:val="007853F2"/>
    <w:rsid w:val="00796D3B"/>
    <w:rsid w:val="007A7363"/>
    <w:rsid w:val="007B1063"/>
    <w:rsid w:val="007B16B3"/>
    <w:rsid w:val="007B28E6"/>
    <w:rsid w:val="007B42E2"/>
    <w:rsid w:val="007B5492"/>
    <w:rsid w:val="007C2ED3"/>
    <w:rsid w:val="007E2356"/>
    <w:rsid w:val="007F1A41"/>
    <w:rsid w:val="00807B67"/>
    <w:rsid w:val="008207C3"/>
    <w:rsid w:val="008209F1"/>
    <w:rsid w:val="00821B23"/>
    <w:rsid w:val="008232BA"/>
    <w:rsid w:val="00830616"/>
    <w:rsid w:val="008323ED"/>
    <w:rsid w:val="00845983"/>
    <w:rsid w:val="00860DF8"/>
    <w:rsid w:val="00876BB4"/>
    <w:rsid w:val="0088375F"/>
    <w:rsid w:val="008958BA"/>
    <w:rsid w:val="008A092C"/>
    <w:rsid w:val="008A1FA9"/>
    <w:rsid w:val="008A48DE"/>
    <w:rsid w:val="008A711C"/>
    <w:rsid w:val="008A765A"/>
    <w:rsid w:val="008A76E2"/>
    <w:rsid w:val="008B184F"/>
    <w:rsid w:val="008B2E6A"/>
    <w:rsid w:val="008D3546"/>
    <w:rsid w:val="008D35E1"/>
    <w:rsid w:val="008D49C9"/>
    <w:rsid w:val="008D5C73"/>
    <w:rsid w:val="008E435F"/>
    <w:rsid w:val="008E5A6B"/>
    <w:rsid w:val="008F0DCF"/>
    <w:rsid w:val="0090004C"/>
    <w:rsid w:val="00907CC5"/>
    <w:rsid w:val="00911325"/>
    <w:rsid w:val="00935D57"/>
    <w:rsid w:val="00937076"/>
    <w:rsid w:val="00937420"/>
    <w:rsid w:val="00964074"/>
    <w:rsid w:val="0097021B"/>
    <w:rsid w:val="009847C9"/>
    <w:rsid w:val="009C095C"/>
    <w:rsid w:val="009C3BE2"/>
    <w:rsid w:val="009E18BB"/>
    <w:rsid w:val="009F15BC"/>
    <w:rsid w:val="00A201B3"/>
    <w:rsid w:val="00A23CEE"/>
    <w:rsid w:val="00A24747"/>
    <w:rsid w:val="00A43EF5"/>
    <w:rsid w:val="00A455D3"/>
    <w:rsid w:val="00A5588D"/>
    <w:rsid w:val="00A725E0"/>
    <w:rsid w:val="00A72DBC"/>
    <w:rsid w:val="00A87F0E"/>
    <w:rsid w:val="00AA7D36"/>
    <w:rsid w:val="00AB4209"/>
    <w:rsid w:val="00AC2A46"/>
    <w:rsid w:val="00AC45E2"/>
    <w:rsid w:val="00AD0393"/>
    <w:rsid w:val="00AD1C3E"/>
    <w:rsid w:val="00AE5834"/>
    <w:rsid w:val="00AF315A"/>
    <w:rsid w:val="00B008AF"/>
    <w:rsid w:val="00B02817"/>
    <w:rsid w:val="00B50FB6"/>
    <w:rsid w:val="00B5191B"/>
    <w:rsid w:val="00B719B7"/>
    <w:rsid w:val="00B90F01"/>
    <w:rsid w:val="00B9414E"/>
    <w:rsid w:val="00BA078C"/>
    <w:rsid w:val="00BC05CD"/>
    <w:rsid w:val="00BC6A5E"/>
    <w:rsid w:val="00BD6EDD"/>
    <w:rsid w:val="00BE6A1C"/>
    <w:rsid w:val="00BF2EE0"/>
    <w:rsid w:val="00BF70F6"/>
    <w:rsid w:val="00C076C7"/>
    <w:rsid w:val="00C24D98"/>
    <w:rsid w:val="00C3174C"/>
    <w:rsid w:val="00C33066"/>
    <w:rsid w:val="00C341DF"/>
    <w:rsid w:val="00C43CEC"/>
    <w:rsid w:val="00C45658"/>
    <w:rsid w:val="00C64A72"/>
    <w:rsid w:val="00C660F0"/>
    <w:rsid w:val="00C66FCC"/>
    <w:rsid w:val="00C70A3D"/>
    <w:rsid w:val="00C74E52"/>
    <w:rsid w:val="00C93C22"/>
    <w:rsid w:val="00C94E21"/>
    <w:rsid w:val="00CA40BF"/>
    <w:rsid w:val="00CA79C1"/>
    <w:rsid w:val="00CB70B6"/>
    <w:rsid w:val="00CC154E"/>
    <w:rsid w:val="00CC60EF"/>
    <w:rsid w:val="00CD2357"/>
    <w:rsid w:val="00CD2BE0"/>
    <w:rsid w:val="00CF0993"/>
    <w:rsid w:val="00D00FAB"/>
    <w:rsid w:val="00D03DB7"/>
    <w:rsid w:val="00D05DC2"/>
    <w:rsid w:val="00D21656"/>
    <w:rsid w:val="00D309AB"/>
    <w:rsid w:val="00D333CF"/>
    <w:rsid w:val="00D41C8D"/>
    <w:rsid w:val="00D72217"/>
    <w:rsid w:val="00DB2032"/>
    <w:rsid w:val="00DD129E"/>
    <w:rsid w:val="00DD5C89"/>
    <w:rsid w:val="00DD6DDC"/>
    <w:rsid w:val="00E00965"/>
    <w:rsid w:val="00E0613B"/>
    <w:rsid w:val="00E21181"/>
    <w:rsid w:val="00E24431"/>
    <w:rsid w:val="00E41664"/>
    <w:rsid w:val="00E41CA1"/>
    <w:rsid w:val="00E46479"/>
    <w:rsid w:val="00E564D3"/>
    <w:rsid w:val="00E56E08"/>
    <w:rsid w:val="00E622C7"/>
    <w:rsid w:val="00E62E8D"/>
    <w:rsid w:val="00EA4E61"/>
    <w:rsid w:val="00EB1538"/>
    <w:rsid w:val="00EB2808"/>
    <w:rsid w:val="00EB7B12"/>
    <w:rsid w:val="00EC2437"/>
    <w:rsid w:val="00ED04DF"/>
    <w:rsid w:val="00EE1C5C"/>
    <w:rsid w:val="00EE3508"/>
    <w:rsid w:val="00EE3851"/>
    <w:rsid w:val="00F20718"/>
    <w:rsid w:val="00F3360A"/>
    <w:rsid w:val="00F66056"/>
    <w:rsid w:val="00F66661"/>
    <w:rsid w:val="00F67F90"/>
    <w:rsid w:val="00F7373E"/>
    <w:rsid w:val="00F80616"/>
    <w:rsid w:val="00FA4053"/>
    <w:rsid w:val="00FB42EE"/>
    <w:rsid w:val="00FB66BF"/>
    <w:rsid w:val="00FE6DFC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99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  <w:style w:type="paragraph" w:styleId="af0">
    <w:name w:val="Title"/>
    <w:basedOn w:val="a"/>
    <w:link w:val="af1"/>
    <w:uiPriority w:val="99"/>
    <w:qFormat/>
    <w:rsid w:val="00176E3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rsid w:val="00176E3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5448-22C6-486A-B337-62B485D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18</Pages>
  <Words>6827</Words>
  <Characters>38916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RN114</cp:lastModifiedBy>
  <cp:revision>158</cp:revision>
  <dcterms:created xsi:type="dcterms:W3CDTF">2021-02-01T06:35:00Z</dcterms:created>
  <dcterms:modified xsi:type="dcterms:W3CDTF">2022-02-14T02:47:00Z</dcterms:modified>
</cp:coreProperties>
</file>