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рассмотрении обращений</w:t>
      </w:r>
      <w:r>
        <w:rPr>
          <w:rFonts w:ascii="Times New Roman" w:hAnsi="Times New Roman" w:cs="Times New Roman"/>
          <w:b/>
          <w:sz w:val="28"/>
          <w:szCs w:val="28"/>
        </w:rPr>
        <w:t xml:space="preserve"> граждан, поступивших в Министерство труда и социальной защиты населения Забайкальского края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</w:t>
      </w:r>
      <w:r>
        <w:rPr>
          <w:rFonts w:ascii="Times New Roman" w:hAnsi="Times New Roman" w:cs="Times New Roman"/>
          <w:b/>
          <w:sz w:val="28"/>
          <w:szCs w:val="28"/>
        </w:rPr>
        <w:t xml:space="preserve">4 </w:t>
      </w:r>
      <w:r>
        <w:rPr>
          <w:rFonts w:ascii="Times New Roman" w:hAnsi="Times New Roman" w:cs="Times New Roman"/>
          <w:b/>
          <w:sz w:val="28"/>
          <w:szCs w:val="28"/>
        </w:rPr>
        <w:t xml:space="preserve">квартал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20</w:t>
      </w:r>
      <w:r>
        <w:rPr>
          <w:rFonts w:ascii="Times New Roman" w:hAnsi="Times New Roman" w:cs="Times New Roman"/>
          <w:b/>
          <w:sz w:val="28"/>
          <w:szCs w:val="28"/>
        </w:rPr>
        <w:t xml:space="preserve">2</w:t>
      </w:r>
      <w:r>
        <w:rPr>
          <w:rFonts w:ascii="Times New Roman" w:hAnsi="Times New Roman" w:cs="Times New Roman"/>
          <w:b/>
          <w:sz w:val="28"/>
          <w:szCs w:val="28"/>
        </w:rPr>
        <w:t xml:space="preserve">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>
        <w:rPr>
          <w:rFonts w:ascii="Times New Roman" w:hAnsi="Times New Roman" w:cs="Times New Roman"/>
          <w:b/>
          <w:sz w:val="28"/>
          <w:szCs w:val="28"/>
        </w:rPr>
        <w:t xml:space="preserve">а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Министерство труда и социальной защиты населения Забайкальского края </w:t>
      </w:r>
      <w:r>
        <w:rPr>
          <w:rFonts w:ascii="Times New Roman" w:hAnsi="Times New Roman" w:cs="Times New Roman"/>
          <w:sz w:val="28"/>
          <w:szCs w:val="28"/>
        </w:rPr>
        <w:t xml:space="preserve">(далее - Министерство) </w:t>
      </w:r>
      <w:r>
        <w:rPr>
          <w:rFonts w:ascii="Times New Roman" w:hAnsi="Times New Roman" w:cs="Times New Roman"/>
          <w:sz w:val="28"/>
          <w:szCs w:val="28"/>
        </w:rPr>
        <w:t xml:space="preserve"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4 </w:t>
      </w:r>
      <w:r>
        <w:rPr>
          <w:rFonts w:ascii="Times New Roman" w:hAnsi="Times New Roman" w:cs="Times New Roman"/>
          <w:sz w:val="28"/>
          <w:szCs w:val="28"/>
        </w:rPr>
        <w:t xml:space="preserve">квартал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202</w:t>
      </w:r>
      <w:r>
        <w:rPr>
          <w:rFonts w:ascii="Times New Roman" w:hAnsi="Times New Roman" w:cs="Times New Roman"/>
          <w:sz w:val="28"/>
          <w:szCs w:val="28"/>
        </w:rPr>
        <w:t xml:space="preserve">4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поступило 1062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обращений граждан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16 принято в ходе личного приема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Style w:val="623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поступившие обращения рассматриваются в соответствии с Федеральным законом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Style w:val="623"/>
          <w:rFonts w:ascii="Times New Roman" w:hAnsi="Times New Roman" w:cs="Times New Roman"/>
          <w:sz w:val="28"/>
        </w:rPr>
        <w:t xml:space="preserve">2</w:t>
      </w:r>
      <w:r>
        <w:rPr>
          <w:rStyle w:val="623"/>
          <w:rFonts w:ascii="Times New Roman" w:hAnsi="Times New Roman" w:cs="Times New Roman"/>
          <w:sz w:val="28"/>
        </w:rPr>
        <w:t xml:space="preserve"> </w:t>
      </w:r>
      <w:r>
        <w:rPr>
          <w:rStyle w:val="623"/>
          <w:rFonts w:ascii="Times New Roman" w:hAnsi="Times New Roman" w:cs="Times New Roman"/>
          <w:sz w:val="28"/>
        </w:rPr>
        <w:t xml:space="preserve">мая</w:t>
      </w:r>
      <w:r>
        <w:rPr>
          <w:rStyle w:val="623"/>
          <w:rFonts w:ascii="Times New Roman" w:hAnsi="Times New Roman" w:cs="Times New Roman"/>
          <w:sz w:val="28"/>
        </w:rPr>
        <w:t xml:space="preserve"> </w:t>
      </w:r>
      <w:r>
        <w:rPr>
          <w:rStyle w:val="623"/>
          <w:rFonts w:ascii="Times New Roman" w:hAnsi="Times New Roman" w:cs="Times New Roman"/>
          <w:sz w:val="28"/>
        </w:rPr>
        <w:t xml:space="preserve">2006</w:t>
      </w:r>
      <w:r>
        <w:rPr>
          <w:rStyle w:val="623"/>
          <w:rFonts w:ascii="Times New Roman" w:hAnsi="Times New Roman" w:cs="Times New Roman"/>
          <w:sz w:val="28"/>
        </w:rPr>
        <w:t xml:space="preserve"> </w:t>
      </w:r>
      <w:r>
        <w:rPr>
          <w:rStyle w:val="623"/>
          <w:rFonts w:ascii="Times New Roman" w:hAnsi="Times New Roman" w:cs="Times New Roman"/>
          <w:sz w:val="28"/>
        </w:rPr>
        <w:t xml:space="preserve">года №</w:t>
      </w:r>
      <w:r>
        <w:rPr>
          <w:rStyle w:val="623"/>
          <w:rFonts w:ascii="Times New Roman" w:hAnsi="Times New Roman" w:cs="Times New Roman"/>
          <w:sz w:val="28"/>
        </w:rPr>
        <w:t xml:space="preserve"> </w:t>
      </w:r>
      <w:r>
        <w:rPr>
          <w:rStyle w:val="623"/>
          <w:rFonts w:ascii="Times New Roman" w:hAnsi="Times New Roman" w:cs="Times New Roman"/>
          <w:sz w:val="28"/>
        </w:rPr>
        <w:t xml:space="preserve">59-ФЗ</w:t>
      </w:r>
      <w:r>
        <w:rPr>
          <w:rStyle w:val="623"/>
          <w:rFonts w:ascii="Times New Roman" w:hAnsi="Times New Roman" w:cs="Times New Roman"/>
          <w:sz w:val="28"/>
        </w:rPr>
        <w:t xml:space="preserve"> «О порядке рассмотрения обращений граждан Российской Федерации».</w:t>
      </w:r>
      <w:r>
        <w:rPr>
          <w:rStyle w:val="623"/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 общего количества обращений, поступивших в Министерство 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4 </w:t>
      </w:r>
      <w:r>
        <w:rPr>
          <w:rFonts w:ascii="Times New Roman" w:hAnsi="Times New Roman" w:cs="Times New Roman"/>
          <w:sz w:val="28"/>
          <w:szCs w:val="28"/>
        </w:rPr>
        <w:t xml:space="preserve">квартале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202</w:t>
      </w:r>
      <w:r>
        <w:rPr>
          <w:rFonts w:ascii="Times New Roman" w:hAnsi="Times New Roman" w:cs="Times New Roman"/>
          <w:sz w:val="28"/>
          <w:szCs w:val="28"/>
        </w:rPr>
        <w:t xml:space="preserve">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год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30"/>
        <w:numPr>
          <w:ilvl w:val="0"/>
          <w:numId w:val="1"/>
        </w:num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772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поступило из Администрации Губернатора Забайкальского края;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30"/>
        <w:numPr>
          <w:ilvl w:val="0"/>
          <w:numId w:val="1"/>
        </w:num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101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из </w:t>
      </w:r>
      <w:r>
        <w:rPr>
          <w:rFonts w:ascii="Times New Roman" w:hAnsi="Times New Roman" w:cs="Times New Roman"/>
          <w:sz w:val="28"/>
          <w:szCs w:val="28"/>
        </w:rPr>
        <w:t xml:space="preserve">органов п</w:t>
      </w:r>
      <w:r>
        <w:rPr>
          <w:rFonts w:ascii="Times New Roman" w:hAnsi="Times New Roman" w:cs="Times New Roman"/>
          <w:sz w:val="28"/>
          <w:szCs w:val="28"/>
        </w:rPr>
        <w:t xml:space="preserve">рокуратуры Забайкальского края;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30"/>
        <w:numPr>
          <w:ilvl w:val="0"/>
          <w:numId w:val="1"/>
        </w:num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51 – из </w:t>
      </w:r>
      <w:r>
        <w:rPr>
          <w:rFonts w:ascii="Times New Roman" w:hAnsi="Times New Roman" w:cs="Times New Roman"/>
          <w:sz w:val="28"/>
          <w:szCs w:val="28"/>
        </w:rPr>
        <w:t xml:space="preserve">Отделения фонда пенсионного и социального страхования</w:t>
      </w:r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по Забайкальскому краю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30"/>
        <w:numPr>
          <w:ilvl w:val="0"/>
          <w:numId w:val="1"/>
        </w:numPr>
        <w:ind w:left="0" w:right="0" w:firstLine="106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97 – из </w:t>
      </w:r>
      <w:r>
        <w:rPr>
          <w:rFonts w:ascii="Times New Roman" w:hAnsi="Times New Roman" w:cs="Times New Roman"/>
          <w:sz w:val="28"/>
          <w:szCs w:val="28"/>
        </w:rPr>
        <w:t xml:space="preserve">Следственного управления по Забайкальскому краю (СУ СК России по Забайкальскому краю).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Наибольшее количество обращений поступило от граждан, проживающих: в г. Чите – </w:t>
      </w:r>
      <w:r>
        <w:rPr>
          <w:rFonts w:ascii="Times New Roman" w:hAnsi="Times New Roman" w:cs="Times New Roman"/>
          <w:sz w:val="28"/>
          <w:szCs w:val="28"/>
        </w:rPr>
        <w:t xml:space="preserve">417 (</w:t>
      </w:r>
      <w:r>
        <w:rPr>
          <w:rFonts w:ascii="Times New Roman" w:hAnsi="Times New Roman" w:cs="Times New Roman"/>
          <w:sz w:val="28"/>
          <w:szCs w:val="28"/>
        </w:rPr>
        <w:t xml:space="preserve">39,</w:t>
      </w:r>
      <w:r>
        <w:rPr>
          <w:rFonts w:ascii="Times New Roman" w:hAnsi="Times New Roman" w:cs="Times New Roman"/>
          <w:sz w:val="28"/>
          <w:szCs w:val="28"/>
        </w:rPr>
        <w:t xml:space="preserve">3%), </w:t>
      </w:r>
      <w:r>
        <w:rPr>
          <w:rFonts w:ascii="Times New Roman" w:hAnsi="Times New Roman" w:cs="Times New Roman"/>
          <w:sz w:val="28"/>
          <w:szCs w:val="28"/>
        </w:rPr>
        <w:t xml:space="preserve">Читинском районе – </w:t>
      </w:r>
      <w:r>
        <w:rPr>
          <w:rFonts w:ascii="Times New Roman" w:hAnsi="Times New Roman" w:cs="Times New Roman"/>
          <w:sz w:val="28"/>
          <w:szCs w:val="28"/>
        </w:rPr>
        <w:t xml:space="preserve">100 (</w:t>
      </w:r>
      <w:r>
        <w:rPr>
          <w:rFonts w:ascii="Times New Roman" w:hAnsi="Times New Roman" w:cs="Times New Roman"/>
          <w:sz w:val="28"/>
          <w:szCs w:val="28"/>
        </w:rPr>
        <w:t xml:space="preserve">9,4</w:t>
      </w:r>
      <w:r>
        <w:rPr>
          <w:rFonts w:ascii="Times New Roman" w:hAnsi="Times New Roman" w:cs="Times New Roman"/>
          <w:sz w:val="28"/>
          <w:szCs w:val="28"/>
        </w:rPr>
        <w:t xml:space="preserve">%</w:t>
      </w:r>
      <w:r>
        <w:rPr>
          <w:rFonts w:ascii="Times New Roman" w:hAnsi="Times New Roman" w:cs="Times New Roman"/>
          <w:sz w:val="28"/>
          <w:szCs w:val="28"/>
        </w:rPr>
        <w:t xml:space="preserve">),  </w:t>
      </w:r>
      <w:r>
        <w:rPr>
          <w:rFonts w:ascii="Times New Roman" w:hAnsi="Times New Roman" w:cs="Times New Roman"/>
          <w:sz w:val="28"/>
          <w:szCs w:val="28"/>
        </w:rPr>
        <w:t xml:space="preserve">г. </w:t>
      </w:r>
      <w:r>
        <w:rPr>
          <w:rFonts w:ascii="Times New Roman" w:hAnsi="Times New Roman" w:cs="Times New Roman"/>
          <w:sz w:val="28"/>
          <w:szCs w:val="28"/>
        </w:rPr>
        <w:t xml:space="preserve">Краснокаменске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Краснокаменском</w:t>
      </w:r>
      <w:r>
        <w:rPr>
          <w:rFonts w:ascii="Times New Roman" w:hAnsi="Times New Roman" w:cs="Times New Roman"/>
          <w:sz w:val="28"/>
          <w:szCs w:val="28"/>
        </w:rPr>
        <w:t xml:space="preserve"> районе – </w:t>
      </w:r>
      <w:r>
        <w:rPr>
          <w:rFonts w:ascii="Times New Roman" w:hAnsi="Times New Roman" w:cs="Times New Roman"/>
          <w:sz w:val="28"/>
          <w:szCs w:val="28"/>
        </w:rPr>
        <w:t xml:space="preserve">48 (</w:t>
      </w:r>
      <w:r>
        <w:rPr>
          <w:rFonts w:ascii="Times New Roman" w:hAnsi="Times New Roman" w:cs="Times New Roman"/>
          <w:sz w:val="28"/>
          <w:szCs w:val="28"/>
        </w:rPr>
        <w:t xml:space="preserve">4,5%), </w:t>
      </w:r>
      <w:r>
        <w:rPr>
          <w:rFonts w:ascii="Times New Roman" w:hAnsi="Times New Roman" w:cs="Times New Roman"/>
          <w:sz w:val="28"/>
          <w:szCs w:val="28"/>
        </w:rPr>
        <w:t xml:space="preserve">Шилкинском</w:t>
      </w:r>
      <w:r>
        <w:rPr>
          <w:rFonts w:ascii="Times New Roman" w:hAnsi="Times New Roman" w:cs="Times New Roman"/>
          <w:sz w:val="28"/>
          <w:szCs w:val="28"/>
        </w:rPr>
        <w:t xml:space="preserve"> районе – </w:t>
      </w:r>
      <w:r>
        <w:rPr>
          <w:rFonts w:ascii="Times New Roman" w:hAnsi="Times New Roman" w:cs="Times New Roman"/>
          <w:sz w:val="28"/>
          <w:szCs w:val="28"/>
        </w:rPr>
        <w:t xml:space="preserve">32 (</w:t>
      </w:r>
      <w:r>
        <w:rPr>
          <w:rFonts w:ascii="Times New Roman" w:hAnsi="Times New Roman" w:cs="Times New Roman"/>
          <w:sz w:val="28"/>
          <w:szCs w:val="28"/>
        </w:rPr>
        <w:t xml:space="preserve">3,0%), </w:t>
      </w:r>
      <w:r>
        <w:rPr>
          <w:rFonts w:ascii="Times New Roman" w:hAnsi="Times New Roman" w:cs="Times New Roman"/>
          <w:sz w:val="28"/>
          <w:szCs w:val="28"/>
        </w:rPr>
        <w:t xml:space="preserve">Карымском</w:t>
      </w:r>
      <w:r>
        <w:rPr>
          <w:rFonts w:ascii="Times New Roman" w:hAnsi="Times New Roman" w:cs="Times New Roman"/>
          <w:sz w:val="28"/>
          <w:szCs w:val="28"/>
        </w:rPr>
        <w:t xml:space="preserve"> районе – </w:t>
      </w:r>
      <w:r>
        <w:rPr>
          <w:rFonts w:ascii="Times New Roman" w:hAnsi="Times New Roman" w:cs="Times New Roman"/>
          <w:sz w:val="28"/>
          <w:szCs w:val="28"/>
        </w:rPr>
        <w:t xml:space="preserve">29</w:t>
      </w:r>
      <w:r>
        <w:rPr>
          <w:rFonts w:ascii="Times New Roman" w:hAnsi="Times New Roman" w:cs="Times New Roman"/>
          <w:sz w:val="28"/>
          <w:szCs w:val="28"/>
        </w:rPr>
        <w:t xml:space="preserve"> (3,</w:t>
      </w:r>
      <w:r>
        <w:rPr>
          <w:rFonts w:ascii="Times New Roman" w:hAnsi="Times New Roman" w:cs="Times New Roman"/>
          <w:sz w:val="28"/>
          <w:szCs w:val="28"/>
        </w:rPr>
        <w:t xml:space="preserve">0%), </w:t>
      </w:r>
      <w:r>
        <w:rPr>
          <w:rFonts w:ascii="Times New Roman" w:hAnsi="Times New Roman" w:cs="Times New Roman"/>
          <w:sz w:val="28"/>
          <w:szCs w:val="28"/>
        </w:rPr>
        <w:t xml:space="preserve">Борзинском</w:t>
      </w:r>
      <w:r>
        <w:rPr>
          <w:rFonts w:ascii="Times New Roman" w:hAnsi="Times New Roman" w:cs="Times New Roman"/>
          <w:sz w:val="28"/>
          <w:szCs w:val="28"/>
        </w:rPr>
        <w:t xml:space="preserve"> районе – </w:t>
      </w:r>
      <w:r>
        <w:rPr>
          <w:rFonts w:ascii="Times New Roman" w:hAnsi="Times New Roman" w:cs="Times New Roman"/>
          <w:sz w:val="28"/>
          <w:szCs w:val="28"/>
        </w:rPr>
        <w:t xml:space="preserve">46 (</w:t>
      </w:r>
      <w:r>
        <w:rPr>
          <w:rFonts w:ascii="Times New Roman" w:hAnsi="Times New Roman" w:cs="Times New Roman"/>
          <w:sz w:val="28"/>
          <w:szCs w:val="28"/>
        </w:rPr>
        <w:t xml:space="preserve">4,3%), </w:t>
      </w:r>
      <w:r>
        <w:rPr>
          <w:rFonts w:ascii="Times New Roman" w:hAnsi="Times New Roman" w:cs="Times New Roman"/>
          <w:sz w:val="28"/>
          <w:szCs w:val="28"/>
        </w:rPr>
        <w:t xml:space="preserve">п. Агинское и Агинском районе </w:t>
      </w:r>
      <w:r>
        <w:rPr>
          <w:rFonts w:ascii="Times New Roman" w:hAnsi="Times New Roman" w:cs="Times New Roman"/>
          <w:sz w:val="28"/>
          <w:szCs w:val="28"/>
        </w:rPr>
        <w:t xml:space="preserve"> – 16 (1,5%), </w:t>
      </w:r>
      <w:r>
        <w:rPr>
          <w:rFonts w:ascii="Times New Roman" w:hAnsi="Times New Roman" w:cs="Times New Roman"/>
          <w:sz w:val="28"/>
          <w:szCs w:val="28"/>
        </w:rPr>
        <w:t xml:space="preserve">Нерчинском</w:t>
      </w:r>
      <w:r>
        <w:rPr>
          <w:rFonts w:ascii="Times New Roman" w:hAnsi="Times New Roman" w:cs="Times New Roman"/>
          <w:sz w:val="28"/>
          <w:szCs w:val="28"/>
        </w:rPr>
        <w:t xml:space="preserve">  районе – </w:t>
      </w:r>
      <w:r>
        <w:rPr>
          <w:rFonts w:ascii="Times New Roman" w:hAnsi="Times New Roman" w:cs="Times New Roman"/>
          <w:sz w:val="28"/>
          <w:szCs w:val="28"/>
        </w:rPr>
        <w:t xml:space="preserve">19 (</w:t>
      </w:r>
      <w:r>
        <w:rPr>
          <w:rFonts w:ascii="Times New Roman" w:hAnsi="Times New Roman" w:cs="Times New Roman"/>
          <w:sz w:val="28"/>
          <w:szCs w:val="28"/>
        </w:rPr>
        <w:t xml:space="preserve">1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8%), </w:t>
      </w:r>
      <w:r>
        <w:rPr>
          <w:rFonts w:ascii="Times New Roman" w:hAnsi="Times New Roman" w:cs="Times New Roman"/>
          <w:sz w:val="28"/>
          <w:szCs w:val="28"/>
        </w:rPr>
        <w:t xml:space="preserve">и т.д.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Обращения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поступающие в Министерство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ставятся на контроль. </w:t>
      </w:r>
      <w:r>
        <w:rPr>
          <w:rFonts w:ascii="Times New Roman" w:hAnsi="Times New Roman" w:cs="Times New Roman"/>
          <w:sz w:val="28"/>
          <w:szCs w:val="28"/>
        </w:rPr>
        <w:t xml:space="preserve">Результативность обращений п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состоянию </w:t>
      </w:r>
      <w:r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 xml:space="preserve"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квартал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20</w:t>
      </w:r>
      <w:r>
        <w:rPr>
          <w:rFonts w:ascii="Times New Roman" w:hAnsi="Times New Roman" w:cs="Times New Roman"/>
          <w:sz w:val="28"/>
          <w:szCs w:val="28"/>
        </w:rPr>
        <w:t xml:space="preserve">2</w:t>
      </w:r>
      <w:r>
        <w:rPr>
          <w:rFonts w:ascii="Times New Roman" w:hAnsi="Times New Roman" w:cs="Times New Roman"/>
          <w:sz w:val="28"/>
          <w:szCs w:val="28"/>
        </w:rPr>
        <w:t xml:space="preserve">4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разъяснено –</w:t>
      </w:r>
      <w:r>
        <w:rPr>
          <w:rFonts w:ascii="Times New Roman" w:hAnsi="Times New Roman" w:cs="Times New Roman"/>
          <w:sz w:val="28"/>
          <w:szCs w:val="28"/>
        </w:rPr>
        <w:t xml:space="preserve">857;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подд</w:t>
      </w:r>
      <w:r>
        <w:rPr>
          <w:rFonts w:ascii="Times New Roman" w:hAnsi="Times New Roman" w:cs="Times New Roman"/>
          <w:sz w:val="28"/>
          <w:szCs w:val="28"/>
        </w:rPr>
        <w:t xml:space="preserve">ержано – </w:t>
      </w:r>
      <w:r>
        <w:rPr>
          <w:rFonts w:ascii="Times New Roman" w:hAnsi="Times New Roman" w:cs="Times New Roman"/>
          <w:sz w:val="28"/>
          <w:szCs w:val="28"/>
        </w:rPr>
        <w:t xml:space="preserve">1;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не поддержано – </w:t>
      </w:r>
      <w:r>
        <w:rPr>
          <w:rFonts w:ascii="Times New Roman" w:hAnsi="Times New Roman" w:cs="Times New Roman"/>
          <w:sz w:val="28"/>
          <w:szCs w:val="28"/>
        </w:rPr>
        <w:t xml:space="preserve">1.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Содержание </w:t>
      </w:r>
      <w:r>
        <w:rPr>
          <w:rFonts w:ascii="Times New Roman" w:hAnsi="Times New Roman" w:cs="Times New Roman"/>
          <w:sz w:val="28"/>
          <w:szCs w:val="28"/>
        </w:rPr>
        <w:t xml:space="preserve">обращений граждан приведено в таблице:</w:t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Style w:val="625"/>
        <w:tblW w:w="0" w:type="auto"/>
        <w:tblLook w:val="04A0" w:firstRow="1" w:lastRow="0" w:firstColumn="1" w:lastColumn="0" w:noHBand="0" w:noVBand="1"/>
      </w:tblPr>
      <w:tblGrid>
        <w:gridCol w:w="594"/>
        <w:gridCol w:w="7169"/>
        <w:gridCol w:w="1808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№ п/п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16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Тема обращений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Количество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Обеспечение жильем детей-сирот и детей, оставшихся без попечения родителей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314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Обеспечение жильём иных категорий граждан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27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 выплате пособия на детей (до 1,5 лет,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от 3 до 7 лет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и т.д.)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37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</w:tr>
      <w:tr>
        <w:tblPrEx/>
        <w:trPr>
          <w:trHeight w:val="34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 мерах социальной поддержки (оплата жилищно-коммунальных услуг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, доплата к пенсии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, ветеранские и прочие)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135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Вопросы опеки и попечительства несовершеннолетних (усыновление (удочерение), оформление опеки и т.д.)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</w:tr>
      <w:tr>
        <w:tblPrEx/>
        <w:trPr>
          <w:trHeight w:val="632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По вопросам труда и занятости населения (трудоустройство, пособие по безработице, заработная плата и т.д.)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28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7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Реализация мер правовой и социальной защиты военнослужащих, граждан, уволенных с военной службы, и членов их семей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186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Прочие вопросы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82</w:t>
            </w:r>
            <w:r>
              <w:rPr>
                <w:rFonts w:ascii="Times New Roman" w:hAnsi="Times New Roman" w:cs="Times New Roman"/>
                <w:sz w:val="24"/>
                <w:szCs w:val="28"/>
              </w:rPr>
            </w:r>
          </w:p>
        </w:tc>
      </w:tr>
    </w:tbl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Для определения права на назначение государственной социальной помощи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форме социального контракта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гражданам необходимо обратиться в отделы Государственного казенного учреждения «Краевой центр социальной защиты населения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» Забайкальского края по месту жительства, а для получения консультации по вопросам трудоустройства и занятости населения в отделы Государственного казенного учреждения «Краевой центр занятости населения» Забайкальского края по месту жительства.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Адреса и телефоны указаны на сайте Министерства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(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http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://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минсоц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абайкальскийкрай.рф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/).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части вопросов, касающихся предоставления ежемесячного пособия по уходу за ребенком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рекомендуем Вам обратиться в Отделение фонда пенсионного и социального страхования  РФ по Забайкальскому краю по адресу: г. Чита, ул. Чкалова, 160б, телефоны: 8(3022)36-94-04, 8(3022)36-95-59, 8(3022)36-95-11, адрес электронной почты: sekretar@085.pfr.ru.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sectPr>
      <w:footnotePr/>
      <w:endnotePr/>
      <w:type w:val="nextPage"/>
      <w:pgSz w:w="11906" w:h="16838" w:orient="portrait"/>
      <w:pgMar w:top="568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Wingdings">
    <w:panose1 w:val="05000000000000000000"/>
  </w:font>
  <w:font w:name="Courier New">
    <w:panose1 w:val="02070309020205020404"/>
  </w:font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429" w:hanging="360"/>
      </w:pPr>
      <w:rPr>
        <w:rFonts w:hint="default" w:ascii="Times New Roman" w:hAnsi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9"/>
    <w:next w:val="619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20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9"/>
    <w:next w:val="619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20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9"/>
    <w:next w:val="619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20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9"/>
    <w:next w:val="619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20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9"/>
    <w:next w:val="619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20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9"/>
    <w:next w:val="619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20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9"/>
    <w:next w:val="619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20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9"/>
    <w:next w:val="619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20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9"/>
    <w:next w:val="619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20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9"/>
    <w:next w:val="619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20"/>
    <w:link w:val="34"/>
    <w:uiPriority w:val="10"/>
    <w:rPr>
      <w:sz w:val="48"/>
      <w:szCs w:val="48"/>
    </w:rPr>
  </w:style>
  <w:style w:type="paragraph" w:styleId="36">
    <w:name w:val="Subtitle"/>
    <w:basedOn w:val="619"/>
    <w:next w:val="619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20"/>
    <w:link w:val="36"/>
    <w:uiPriority w:val="11"/>
    <w:rPr>
      <w:sz w:val="24"/>
      <w:szCs w:val="24"/>
    </w:rPr>
  </w:style>
  <w:style w:type="paragraph" w:styleId="38">
    <w:name w:val="Quote"/>
    <w:basedOn w:val="619"/>
    <w:next w:val="619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9"/>
    <w:next w:val="619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9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20"/>
    <w:link w:val="42"/>
    <w:uiPriority w:val="99"/>
  </w:style>
  <w:style w:type="paragraph" w:styleId="44">
    <w:name w:val="Footer"/>
    <w:basedOn w:val="619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20"/>
    <w:link w:val="44"/>
    <w:uiPriority w:val="99"/>
  </w:style>
  <w:style w:type="paragraph" w:styleId="46">
    <w:name w:val="Caption"/>
    <w:basedOn w:val="619"/>
    <w:next w:val="61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9">
    <w:name w:val="Table Grid Light"/>
    <w:basedOn w:val="62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2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2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19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20"/>
    <w:uiPriority w:val="99"/>
    <w:unhideWhenUsed/>
    <w:rPr>
      <w:vertAlign w:val="superscript"/>
    </w:rPr>
  </w:style>
  <w:style w:type="paragraph" w:styleId="178">
    <w:name w:val="endnote text"/>
    <w:basedOn w:val="619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20"/>
    <w:uiPriority w:val="99"/>
    <w:semiHidden/>
    <w:unhideWhenUsed/>
    <w:rPr>
      <w:vertAlign w:val="superscript"/>
    </w:rPr>
  </w:style>
  <w:style w:type="paragraph" w:styleId="181">
    <w:name w:val="toc 1"/>
    <w:basedOn w:val="619"/>
    <w:next w:val="619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9"/>
    <w:next w:val="619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9"/>
    <w:next w:val="619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9"/>
    <w:next w:val="619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9"/>
    <w:next w:val="619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9"/>
    <w:next w:val="619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9"/>
    <w:next w:val="619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9"/>
    <w:next w:val="619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9"/>
    <w:next w:val="619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9"/>
    <w:next w:val="619"/>
    <w:uiPriority w:val="99"/>
    <w:unhideWhenUsed/>
    <w:pPr>
      <w:spacing w:after="0" w:afterAutospacing="0"/>
    </w:pPr>
  </w:style>
  <w:style w:type="paragraph" w:styleId="619" w:default="1">
    <w:name w:val="Normal"/>
    <w:qFormat/>
  </w:style>
  <w:style w:type="character" w:styleId="620" w:default="1">
    <w:name w:val="Default Paragraph Font"/>
    <w:uiPriority w:val="1"/>
    <w:semiHidden/>
    <w:unhideWhenUsed/>
  </w:style>
  <w:style w:type="table" w:styleId="62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2" w:default="1">
    <w:name w:val="No List"/>
    <w:uiPriority w:val="99"/>
    <w:semiHidden/>
    <w:unhideWhenUsed/>
  </w:style>
  <w:style w:type="character" w:styleId="623" w:customStyle="1">
    <w:name w:val="blk"/>
    <w:basedOn w:val="620"/>
  </w:style>
  <w:style w:type="character" w:styleId="624" w:customStyle="1">
    <w:name w:val="nobr"/>
    <w:basedOn w:val="620"/>
  </w:style>
  <w:style w:type="table" w:styleId="625">
    <w:name w:val="Table Grid"/>
    <w:basedOn w:val="62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paragraph" w:styleId="626">
    <w:name w:val="Balloon Text"/>
    <w:basedOn w:val="619"/>
    <w:link w:val="627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627" w:customStyle="1">
    <w:name w:val="Текст выноски Знак"/>
    <w:basedOn w:val="620"/>
    <w:link w:val="626"/>
    <w:uiPriority w:val="99"/>
    <w:semiHidden/>
    <w:rPr>
      <w:rFonts w:ascii="Tahoma" w:hAnsi="Tahoma" w:cs="Tahoma"/>
      <w:sz w:val="16"/>
      <w:szCs w:val="16"/>
    </w:rPr>
  </w:style>
  <w:style w:type="paragraph" w:styleId="628">
    <w:name w:val="Body Text"/>
    <w:basedOn w:val="619"/>
    <w:link w:val="629"/>
    <w:pPr>
      <w:jc w:val="center"/>
      <w:spacing w:after="0" w:line="240" w:lineRule="auto"/>
    </w:pPr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629" w:customStyle="1">
    <w:name w:val="Основной текст Знак"/>
    <w:basedOn w:val="620"/>
    <w:link w:val="628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styleId="630">
    <w:name w:val="List Paragraph"/>
    <w:basedOn w:val="619"/>
    <w:uiPriority w:val="34"/>
    <w:qFormat/>
    <w:pPr>
      <w:contextualSpacing/>
      <w:ind w:left="720"/>
    </w:pPr>
  </w:style>
  <w:style w:type="character" w:styleId="631">
    <w:name w:val="Hyperlink"/>
    <w:basedOn w:val="620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DE3B3D-3D96-4536-9220-38AE60789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Krokoz™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oo4</dc:creator>
  <cp:revision>4</cp:revision>
  <dcterms:created xsi:type="dcterms:W3CDTF">2024-09-24T09:59:00Z</dcterms:created>
  <dcterms:modified xsi:type="dcterms:W3CDTF">2025-01-23T06:56:07Z</dcterms:modified>
</cp:coreProperties>
</file>