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2852420</wp:posOffset>
                </wp:positionH>
                <wp:positionV relativeFrom="paragraph">
                  <wp:posOffset>80010</wp:posOffset>
                </wp:positionV>
                <wp:extent cx="800100" cy="939800"/>
                <wp:effectExtent l="0" t="0" r="0" b="0"/>
                <wp:wrapNone/>
                <wp:docPr id="1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4">
                          <a:extLst>
                            <a:ext uri="{96DAC541-7B7A-43D3-8B79-37D633B846F1}">
                              <asvg:svgBlip xmlns:asvg="http://schemas.microsoft.com/office/drawing/2016/SVG/main" r:embed="rId15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001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224.60pt;mso-position-horizontal:absolute;mso-position-vertical-relative:text;margin-top:6.30pt;mso-position-vertical:absolute;width:63.00pt;height:74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Министерство труда и социальной защиты населения Забайкальского края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ПРИКАЗ</w:t>
      </w:r>
    </w:p>
    <w:p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c>
          <w:tcPr>
            <w:tcW w:w="421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</w:p>
        </w:tc>
        <w:tc>
          <w:tcPr>
            <w:tcW w:w="4573" w:type="dxa"/>
          </w:tcPr>
          <w:p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</w:p>
        </w:tc>
      </w:tr>
    </w:tbl>
    <w:p>
      <w:pPr>
        <w:ind w:firstLine="993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ab/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Чита</w:t>
      </w:r>
      <w:r>
        <w:rPr>
          <w:sz w:val="28"/>
          <w:szCs w:val="28"/>
        </w:rPr>
        <w:t xml:space="preserve"> </w:t>
      </w:r>
    </w:p>
    <w:p>
      <w:pPr>
        <w:jc w:val="center"/>
        <w:rPr>
          <w:b/>
          <w:bCs/>
          <w:sz w:val="28"/>
          <w:szCs w:val="28"/>
          <w:lang w:eastAsia="ru-RU"/>
        </w:rPr>
      </w:pP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Назначение и выплата социального пособия на погребение</w:t>
      </w:r>
      <w:r>
        <w:rPr>
          <w:b/>
          <w:sz w:val="28"/>
          <w:szCs w:val="28"/>
        </w:rPr>
        <w:t xml:space="preserve">»</w:t>
      </w:r>
    </w:p>
    <w:p>
      <w:pPr>
        <w:ind w:firstLine="709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Забайкальского края от 30.06.2022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 Положением о Министерстве труда и социальной защиты населения Забайкальского края, утвержденным постановлением Правительства Забайкальского края от 12.12.2016 № 502, приказываю:</w:t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6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Министерства труда и социальной защиты населения Забайкальского края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предоставлению государственной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Назначение и выплата социального пособия на погребение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Министерства труда и социальной защиты населения Забайкальского края от 27.12.2023  № 1817 «Об утверждении Административного регламента предоставления государственной услуги «Назначение и выплата пособия на погребение»</w:t>
      </w:r>
      <w:r>
        <w:rPr>
          <w:sz w:val="28"/>
          <w:szCs w:val="28"/>
        </w:rPr>
        <w:t xml:space="preserve">.</w:t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Разместить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://право.забайкальскийкрай.рф) и на официальном сайте Министерства труда и социальной защиты населения Забайкальского края: </w:t>
      </w:r>
      <w:r>
        <w:rPr>
          <w:sz w:val="28"/>
          <w:szCs w:val="28"/>
          <w:lang w:val="en-US"/>
        </w:rPr>
        <w:t xml:space="preserve">https</w:t>
      </w:r>
      <w:r>
        <w:rPr>
          <w:sz w:val="28"/>
          <w:szCs w:val="28"/>
        </w:rPr>
        <w:t xml:space="preserve">://</w:t>
      </w:r>
      <w:r>
        <w:rPr>
          <w:sz w:val="28"/>
          <w:szCs w:val="28"/>
          <w:lang w:val="en-US"/>
        </w:rPr>
        <w:t xml:space="preserve">minsoc</w:t>
      </w:r>
      <w:r>
        <w:rPr>
          <w:sz w:val="28"/>
          <w:szCs w:val="28"/>
        </w:rPr>
        <w:t xml:space="preserve">.75.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c>
          <w:tcPr>
            <w:tcW w:w="3114" w:type="dxa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POSITIONAPPROVING</w:t>
            </w:r>
          </w:p>
        </w:tc>
        <w:tc>
          <w:tcPr>
            <w:tcW w:w="3827" w:type="dxa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17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2292985" cy="8826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FIOAPPROVING</w:t>
            </w:r>
          </w:p>
        </w:tc>
      </w:tr>
    </w:tbl>
    <w:p>
      <w:pPr>
        <w:spacing w:after="160" w:line="259" w:lineRule="auto"/>
        <w:ind w:left="6237"/>
        <w:jc w:val="both"/>
        <w:rPr>
          <w:sz w:val="28"/>
          <w:szCs w:val="28"/>
        </w:rPr>
      </w:pPr>
    </w:p>
    <w:p>
      <w:pPr>
        <w:spacing w:before="240"/>
        <w:ind w:left="6237"/>
        <w:jc w:val="both"/>
        <w:rPr>
          <w:sz w:val="28"/>
          <w:szCs w:val="28"/>
          <w:lang w:val="en-US"/>
        </w:rPr>
        <w:sectPr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docGrid w:linePitch="360"/>
          <w:titlePg/>
        </w:sectPr>
      </w:pPr>
    </w:p>
    <w:p>
      <w:pPr>
        <w:spacing w:before="240"/>
        <w:ind w:left="6237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</w:t>
      </w:r>
      <w:r>
        <w:rPr>
          <w:sz w:val="28"/>
          <w:szCs w:val="28"/>
        </w:rPr>
        <w:t xml:space="preserve">соц</w:t>
      </w:r>
      <w:r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Назначение и выплата социального пособия на погребение</w:t>
      </w:r>
      <w:r>
        <w:rPr>
          <w:b/>
          <w:sz w:val="28"/>
          <w:szCs w:val="28"/>
        </w:rPr>
        <w:t xml:space="preserve">»</w:t>
      </w:r>
    </w:p>
    <w:p>
      <w:pPr>
        <w:ind w:firstLine="709"/>
        <w:rPr>
          <w:rFonts w:eastAsia="Calibri"/>
          <w:sz w:val="28"/>
          <w:szCs w:val="28"/>
        </w:rPr>
      </w:pP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Назначение и выплата социального пособия на погребение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физическим лицам - супругам, близким родственникам, иным родственникам, законным представителям умершего, иным лицам, взявшим на себя обязанность осуществить погребение умершего,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</w:t>
      </w:r>
      <w:r>
        <w:rPr>
          <w:sz w:val="28"/>
          <w:szCs w:val="28"/>
          <w:lang w:eastAsia="ru-RU"/>
        </w:rPr>
        <w:t xml:space="preserve">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</w:t>
      </w:r>
      <w:r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af5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Назначение и выплата социального пособия на погребение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Министерством труда и социальной защиты населения 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ГКУ «Краевой центр социальной защиты населения» Забайкальского края </w:t>
      </w:r>
      <w:r>
        <w:rPr>
          <w:sz w:val="28"/>
          <w:szCs w:val="28"/>
          <w:lang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назначением и выплатой социального пособия на погребение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</w:p>
    <w:p>
      <w:pPr>
        <w:pStyle w:val="ab"/>
        <w:tabs>
          <w:tab w:val="num" w:pos="1276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принятие решения о назначении и выплате социального пособия на погребение; </w:t>
      </w:r>
    </w:p>
    <w:p>
      <w:pPr>
        <w:pStyle w:val="ab"/>
        <w:tabs>
          <w:tab w:val="num" w:pos="1276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принятие решения об отказе в назначении соц</w:t>
      </w:r>
      <w:r>
        <w:rPr>
          <w:sz w:val="28"/>
          <w:szCs w:val="28"/>
          <w:lang w:eastAsia="ru-RU"/>
        </w:rPr>
        <w:t xml:space="preserve">иального пособия на погребение.</w:t>
      </w:r>
    </w:p>
    <w:p>
      <w:pPr>
        <w:pStyle w:val="ab"/>
        <w:keepNext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Отделении Фонда пенсионного и социального страхования Российской Федерации</w:t>
      </w:r>
      <w:r>
        <w:rPr>
          <w:sz w:val="28"/>
          <w:szCs w:val="28"/>
        </w:rPr>
        <w:t xml:space="preserve"> (далее – территориальный орган Фонда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личном кабинете </w:t>
      </w:r>
      <w:r>
        <w:rPr>
          <w:sz w:val="28"/>
          <w:szCs w:val="28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5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keepNext/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поступления</w:t>
      </w:r>
      <w:r>
        <w:rPr>
          <w:sz w:val="28"/>
          <w:szCs w:val="28"/>
          <w:lang w:eastAsia="ru-RU"/>
        </w:rPr>
        <w:t xml:space="preserve"> заявления о предоставл</w:t>
      </w:r>
      <w:r>
        <w:rPr>
          <w:sz w:val="28"/>
          <w:szCs w:val="28"/>
          <w:lang w:eastAsia="ru-RU"/>
        </w:rPr>
        <w:t xml:space="preserve">ении Услуги (далее – заявление) и</w:t>
      </w:r>
      <w:r>
        <w:rPr>
          <w:sz w:val="28"/>
          <w:szCs w:val="28"/>
          <w:lang w:eastAsia="ru-RU"/>
        </w:rPr>
        <w:t xml:space="preserve"> сведений от территориального органа Фонда. </w:t>
      </w:r>
    </w:p>
    <w:p>
      <w:pPr>
        <w:keepNext/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законодательством Российской Федерации не предусмотрен.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Основания для отказа в приеме </w:t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bCs/>
          <w:sz w:val="28"/>
          <w:szCs w:val="28"/>
          <w:lang w:eastAsia="ru-RU"/>
        </w:rPr>
        <w:t xml:space="preserve">, поступившего </w:t>
      </w:r>
      <w:r>
        <w:rPr>
          <w:sz w:val="28"/>
          <w:szCs w:val="28"/>
          <w:lang w:eastAsia="ru-RU"/>
        </w:rPr>
        <w:t xml:space="preserve">от территориального органа Фонда,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, поступившего </w:t>
      </w:r>
      <w:r>
        <w:rPr>
          <w:sz w:val="28"/>
          <w:szCs w:val="28"/>
          <w:lang w:eastAsia="ru-RU"/>
        </w:rPr>
        <w:t xml:space="preserve">через</w:t>
      </w:r>
      <w:r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орган Фонда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рабочий день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Информационные системы, используемые для предоставления Услуги: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втоматизированная си</w:t>
      </w:r>
      <w:r>
        <w:rPr>
          <w:sz w:val="28"/>
          <w:szCs w:val="28"/>
        </w:rPr>
        <w:t xml:space="preserve">стема «</w:t>
      </w:r>
      <w:r>
        <w:rPr>
          <w:sz w:val="28"/>
          <w:szCs w:val="28"/>
        </w:rPr>
        <w:t xml:space="preserve">Адресная социальная помощь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государственная информационная система «Единая централизованная цифровая платформа в социальной сфере»</w:t>
      </w:r>
      <w:r>
        <w:rPr>
          <w:sz w:val="28"/>
          <w:szCs w:val="28"/>
        </w:rPr>
        <w:t xml:space="preserve"> (далее - единая цифровая платформа</w:t>
      </w:r>
      <w:r>
        <w:rPr>
          <w:sz w:val="28"/>
          <w:szCs w:val="28"/>
        </w:rPr>
        <w:t xml:space="preserve">).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назначением и выплатой социального пособия на погребение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физическое лицо - супруг (супруга), близкий родственник, иной родственник, законный представитель умершего, иное лицо, взявшее на себя обязанность осуществить погребение умершего,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</w:t>
      </w:r>
      <w:r>
        <w:rPr>
          <w:sz w:val="28"/>
          <w:szCs w:val="28"/>
        </w:rPr>
        <w:t xml:space="preserve"> не являлся пенсионером, а также в случае рождения мертвого ребенка по истечении 154 дней беременности</w:t>
      </w:r>
      <w:r>
        <w:rPr>
          <w:sz w:val="28"/>
          <w:szCs w:val="28"/>
        </w:rPr>
        <w:t xml:space="preserve"> (вариант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без рассмотрения не предусмотрена.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инистративному регламенту.</w:t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Профилирование осуществляется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территориальн</w:t>
      </w:r>
      <w:r>
        <w:rPr>
          <w:sz w:val="28"/>
          <w:szCs w:val="28"/>
          <w:lang w:eastAsia="ru-RU"/>
        </w:rPr>
        <w:t xml:space="preserve">ом</w:t>
      </w:r>
      <w:r>
        <w:rPr>
          <w:sz w:val="28"/>
          <w:szCs w:val="28"/>
          <w:lang w:eastAsia="ru-RU"/>
        </w:rPr>
        <w:t xml:space="preserve"> орган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 Фонда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</w:t>
      </w:r>
      <w:r>
        <w:rPr>
          <w:sz w:val="28"/>
          <w:szCs w:val="28"/>
          <w:lang w:eastAsia="ru-RU"/>
        </w:rPr>
        <w:t xml:space="preserve">из</w:t>
      </w:r>
      <w:r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поступления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сведений от территориального органа Фонда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являются: 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назначении и выплате социального пособия на погребение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об отказе в назначении социального пособия на погребение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от 20.06.2024 № 830 «О Едином стандарте предоставления государственной услуги по назначению социального пособия на погребение»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территориальный орган Фонда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</w:t>
      </w:r>
      <w:r>
        <w:rPr>
          <w:sz w:val="28"/>
          <w:szCs w:val="28"/>
          <w:lang w:eastAsia="ru-RU"/>
        </w:rPr>
        <w:t xml:space="preserve">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беременности, территориальный орган Фонда в течение одного рабочего дня со дня поступления заявления направляет это заявление,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сведения о государственной регистрации смерти и подтверждение права</w:t>
      </w:r>
      <w:r>
        <w:rPr>
          <w:sz w:val="28"/>
          <w:szCs w:val="28"/>
          <w:lang w:eastAsia="ru-RU"/>
        </w:rPr>
        <w:t xml:space="preserve"> заявителя на получение пособия в Орган власти в целях принятия ими решения о назначении и выплате пособия.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приеме </w:t>
      </w:r>
      <w:r>
        <w:rPr>
          <w:bCs/>
          <w:sz w:val="28"/>
          <w:szCs w:val="28"/>
          <w:lang w:eastAsia="ru-RU"/>
        </w:rPr>
        <w:t xml:space="preserve">заявления, поступившего</w:t>
      </w:r>
      <w:r>
        <w:rPr>
          <w:bCs/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 xml:space="preserve">Орган власти от территориального органа Фонда,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, поступившего </w:t>
      </w:r>
      <w:r>
        <w:rPr>
          <w:sz w:val="28"/>
          <w:szCs w:val="28"/>
        </w:rPr>
        <w:t xml:space="preserve">через</w:t>
      </w:r>
      <w:r>
        <w:rPr>
          <w:sz w:val="28"/>
          <w:szCs w:val="28"/>
        </w:rPr>
        <w:t xml:space="preserve"> территориальный орган Фонда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недостоверных или неполных данных в заявлении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заявителем документа о смерти, выданного компетентным органом иностранного государства, если в заявлении указано об обращении за выплатой пособия на погребение лица, умершего на территории иностранного государства, смерть которого зарегистрирована компетентным органом иностранного государства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обращение с заявлением по истечении шести месяцев с даты государственной регистрации смерти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установление  в отношении умершего факта назначения пособия или предоставления услуг согласно гарантированному перечню услуг по погребению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eastAsia="ru-RU"/>
        </w:rPr>
        <w:t xml:space="preserve"> </w:t>
      </w:r>
    </w:p>
    <w:p>
      <w:pPr>
        <w:pStyle w:val="ab"/>
        <w:numPr>
          <w:numId w:val="33"/>
          <w:ilvl w:val="0"/>
        </w:num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Направление территор</w:t>
      </w:r>
      <w:r>
        <w:rPr>
          <w:sz w:val="28"/>
          <w:szCs w:val="28"/>
          <w:lang w:eastAsia="ru-RU"/>
        </w:rPr>
        <w:t xml:space="preserve">иальным органом Фонда заявления и</w:t>
      </w:r>
      <w:r>
        <w:rPr>
          <w:sz w:val="28"/>
          <w:szCs w:val="28"/>
          <w:lang w:eastAsia="ru-RU"/>
        </w:rPr>
        <w:t xml:space="preserve"> сведений о государственной регистрации смерти и подтверждение права </w:t>
      </w:r>
      <w:r>
        <w:rPr>
          <w:sz w:val="28"/>
          <w:szCs w:val="28"/>
          <w:lang w:eastAsia="ru-RU"/>
        </w:rPr>
        <w:t xml:space="preserve">заявителя на получение пособия в Орган власти осуществляется в электронном виде следующими способами: </w:t>
      </w:r>
    </w:p>
    <w:p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использованием единой цифровой платформы (в личном кабинете Органа власти на единой цифровой платформе); </w:t>
      </w:r>
    </w:p>
    <w:p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использованием межведомственного электронного взаимодействия единой цифровой платформы с иными информационными системами, используемыми органами социальной защиты населения субъектов Российской Федерации для процессов назначения и предоставления мер социальной защиты (поддержки) посредством единой системы межведомственного электронного взаимодействия.</w:t>
      </w:r>
    </w:p>
    <w:p>
      <w:pPr>
        <w:pStyle w:val="ConsPlusNormal"/>
        <w:numPr>
          <w:numId w:val="33"/>
          <w:ilvl w:val="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последующего информирования заявителя  территориальным органом Фонда о ходе предоставления Услуги, результате предоставления Услуги Орган власти обеспечивает передачу информации о принятом </w:t>
      </w:r>
      <w:r>
        <w:rPr>
          <w:rFonts w:ascii="Times New Roman" w:hAnsi="Times New Roman" w:cs="Times New Roman"/>
          <w:sz w:val="28"/>
          <w:szCs w:val="28"/>
        </w:rPr>
        <w:t xml:space="preserve"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назначении и выплате социального пособия на погребение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назначении социального пособия на погребение</w:t>
      </w:r>
      <w:r>
        <w:rPr>
          <w:rFonts w:ascii="Times New Roman" w:hAnsi="Times New Roman" w:cs="Times New Roman"/>
          <w:sz w:val="28"/>
          <w:szCs w:val="28"/>
        </w:rPr>
        <w:t xml:space="preserve"> в день принятия соответствующего решения на единую цифровую платформу: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личный кабинет </w:t>
      </w:r>
      <w:r>
        <w:rPr>
          <w:rFonts w:ascii="Times New Roman" w:hAnsi="Times New Roman" w:cs="Times New Roman"/>
          <w:sz w:val="28"/>
          <w:szCs w:val="28"/>
        </w:rPr>
        <w:t xml:space="preserve">органа социальной защиты населения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единой цифровой платформе;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взаимодействия.</w:t>
      </w:r>
    </w:p>
    <w:p>
      <w:pPr>
        <w:keepNext/>
        <w:keepLines/>
        <w:spacing w:before="480" w:after="240"/>
        <w:contextualSpacing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r>
        <w:rPr>
          <w:b/>
          <w:bCs/>
          <w:sz w:val="28"/>
          <w:szCs w:val="28"/>
          <w:lang w:eastAsia="ru-RU"/>
        </w:rPr>
        <w:t xml:space="preserve">контроля за</w:t>
      </w:r>
      <w:r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</w:t>
      </w:r>
      <w:r>
        <w:rPr>
          <w:sz w:val="28"/>
          <w:szCs w:val="28"/>
          <w:lang w:eastAsia="ru-RU"/>
        </w:rPr>
        <w:t xml:space="preserve">контроль за</w:t>
      </w:r>
      <w:r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r>
        <w:rPr>
          <w:b/>
          <w:bCs/>
          <w:sz w:val="28"/>
          <w:szCs w:val="28"/>
          <w:lang w:eastAsia="ru-RU"/>
        </w:rPr>
        <w:t xml:space="preserve">контроля за</w:t>
      </w:r>
      <w:r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ежегодно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обращений граждан и юридических лиц на нарушения законодательства, в том числе на качество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</w:t>
      </w:r>
      <w:r>
        <w:rPr>
          <w:sz w:val="28"/>
          <w:szCs w:val="28"/>
          <w:lang w:eastAsia="ru-RU"/>
        </w:rPr>
        <w:t xml:space="preserve">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r>
        <w:rPr>
          <w:b/>
          <w:bCs/>
          <w:sz w:val="28"/>
          <w:szCs w:val="28"/>
          <w:lang w:eastAsia="ru-RU"/>
        </w:rPr>
        <w:t xml:space="preserve">контроля за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</w:t>
      </w:r>
      <w:r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официальном сайте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устной форме по телефону и (или) при личном приеме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письменной форме почтовым отправлением либо электронным сообщением по адресу, указанному заявителем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вышестоящий орган власти</w:t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  <w:t xml:space="preserve">при личном обращении 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вышестоящий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</w:p>
    <w:p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</w:t>
      </w:r>
      <w:r>
        <w:rPr>
          <w:sz w:val="28"/>
          <w:szCs w:val="28"/>
        </w:rPr>
        <w:t xml:space="preserve">соц</w:t>
      </w:r>
      <w:r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jc w:val="both"/>
        <w:rPr>
          <w:b/>
          <w:bCs/>
          <w:sz w:val="28"/>
          <w:szCs w:val="28"/>
          <w:lang w:eastAsia="ru-RU"/>
        </w:rPr>
      </w:pP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</w:p>
        </w:tc>
        <w:tc>
          <w:tcPr>
            <w:tcW w:w="8931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Назначение и выплата социального пособия на погребение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Физическое лицо - супруг (супруга), близкий родственник, иной родственник, законный представитель умершего, иное лицо, взявшее на себя обязанность осуществить погребение умершего,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 xml:space="preserve">п</w:t>
            </w:r>
            <w:r>
              <w:rPr>
                <w:b/>
                <w:bCs/>
                <w:szCs w:val="20"/>
                <w:lang w:eastAsia="ru-RU"/>
              </w:rPr>
              <w:t xml:space="preserve"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Назначение и выплата социального пособия на погребение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Физическое лицо - супруг (супруга), близкий родственник, иной родственник, законный представитель умершего, иное лицо, взявшее на себя обязанность осуществить погребение умершего,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</w:p>
        </w:tc>
      </w:tr>
    </w:tbl>
    <w:p>
      <w:pPr>
        <w:widowControl w:val="off"/>
        <w:jc w:val="right"/>
        <w:rPr>
          <w:bCs/>
          <w:sz w:val="24"/>
          <w:szCs w:val="24"/>
          <w:u w:val="single"/>
          <w:lang w:eastAsia="ru-RU"/>
        </w:rPr>
      </w:pPr>
    </w:p>
    <w:sectPr>
      <w:headerReference w:type="default" r:id="rId11"/>
      <w:headerReference w:type="first" r:id="rId12"/>
      <w:pgSz w:w="11907" w:h="15842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panose1 w:val="05050102010205020202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49332274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934510622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8</w:t>
        </w:r>
        <w:r>
          <w:fldChar w:fldCharType="end"/>
        </w:r>
      </w:p>
    </w:sdtContent>
  </w:sdt>
  <w:p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multiLevelType w:val="hybridMultilevel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multiLevelType w:val="hybridMultilevel"/>
    <w:lvl w:ilvl="0" w:tplc="7EC48DB4">
      <w:start w:val="32"/>
      <w:numFmt w:val="bullet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multiLevelType w:val="hybridMultilevel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15"/>
  </w:num>
  <w:num w:numId="4">
    <w:abstractNumId w:val="11"/>
  </w:num>
  <w:num w:numId="5">
    <w:abstractNumId w:val="18"/>
  </w:num>
  <w:num w:numId="6">
    <w:abstractNumId w:val="31"/>
  </w:num>
  <w:num w:numId="7">
    <w:abstractNumId w:val="10"/>
  </w:num>
  <w:num w:numId="8">
    <w:abstractNumId w:val="37"/>
  </w:num>
  <w:num w:numId="9">
    <w:abstractNumId w:val="33"/>
  </w:num>
  <w:num w:numId="10">
    <w:abstractNumId w:val="38"/>
  </w:num>
  <w:num w:numId="11">
    <w:abstractNumId w:val="13"/>
  </w:num>
  <w:num w:numId="12">
    <w:abstractNumId w:val="5"/>
  </w:num>
  <w:num w:numId="13">
    <w:abstractNumId w:val="2"/>
  </w:num>
  <w:num w:numId="14">
    <w:abstractNumId w:val="6"/>
  </w:num>
  <w:num w:numId="15">
    <w:abstractNumId w:val="14"/>
  </w:num>
  <w:num w:numId="16">
    <w:abstractNumId w:val="16"/>
  </w:num>
  <w:num w:numId="17">
    <w:abstractNumId w:val="26"/>
  </w:num>
  <w:num w:numId="18">
    <w:abstractNumId w:val="8"/>
  </w:num>
  <w:num w:numId="19">
    <w:abstractNumId w:val="25"/>
  </w:num>
  <w:num w:numId="20">
    <w:abstractNumId w:val="3"/>
  </w:num>
  <w:num w:numId="21">
    <w:abstractNumId w:val="39"/>
  </w:num>
  <w:num w:numId="22">
    <w:abstractNumId w:val="7"/>
  </w:num>
  <w:num w:numId="23">
    <w:abstractNumId w:val="22"/>
  </w:num>
  <w:num w:numId="24">
    <w:abstractNumId w:val="9"/>
  </w:num>
  <w:num w:numId="25">
    <w:abstractNumId w:val="0"/>
  </w:num>
  <w:num w:numId="26">
    <w:abstractNumId w:val="34"/>
  </w:num>
  <w:num w:numId="27">
    <w:abstractNumId w:val="4"/>
  </w:num>
  <w:num w:numId="28">
    <w:abstractNumId w:val="35"/>
  </w:num>
  <w:num w:numId="29">
    <w:abstractNumId w:val="28"/>
  </w:num>
  <w:num w:numId="30">
    <w:abstractNumId w:val="19"/>
  </w:num>
  <w:num w:numId="31">
    <w:abstractNumId w:val="12"/>
  </w:num>
  <w:num w:numId="32">
    <w:abstractNumId w:val="20"/>
  </w:num>
  <w:num w:numId="33">
    <w:abstractNumId w:val="30"/>
  </w:num>
  <w:num w:numId="34">
    <w:abstractNumId w:val="21"/>
  </w:num>
  <w:num w:numId="35">
    <w:abstractNumId w:val="23"/>
  </w:num>
  <w:num w:numId="36">
    <w:abstractNumId w:val="17"/>
  </w:num>
  <w:num w:numId="37">
    <w:abstractNumId w:val="1"/>
  </w:num>
  <w:num w:numId="38">
    <w:abstractNumId w:val="36"/>
  </w:num>
  <w:num w:numId="39">
    <w:abstractNumId w:val="24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1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Pr>
      <w:szCs w:val="20"/>
    </w:rPr>
  </w:style>
  <w:style w:type="character" w:styleId="a5" w:customStyle="1">
    <w:name w:val="Текст примечания Знак"/>
    <w:basedOn w:val="a0"/>
    <w:link w:val="a4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5"/>
    <w:link w:val="a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TimesNewRoman12" w:customStyle="1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styleId="30" w:customStyle="1">
    <w:name w:val="Сетка таблицы3"/>
    <w:basedOn w:val="a1"/>
    <w:next w:val="aa"/>
    <w:uiPriority w:val="39"/>
    <w:pPr>
      <w:spacing w:after="0" w:line="240" w:lineRule="auto"/>
    </w:pPr>
    <w:rPr>
      <w:rFonts w:ascii="Calibri" w:hAnsi="Calibri" w:eastAsia="Calibri" w:cs="Ari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a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Pr>
      <w:rFonts w:ascii="Times New Roman" w:hAnsi="Times New Roman" w:eastAsia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Pr>
      <w:rFonts w:ascii="Times New Roman" w:hAnsi="Times New Roman" w:eastAsia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Pr>
      <w:szCs w:val="20"/>
    </w:rPr>
  </w:style>
  <w:style w:type="character" w:styleId="af1" w:customStyle="1">
    <w:name w:val="Текст концевой сноски Знак"/>
    <w:basedOn w:val="a0"/>
    <w:link w:val="af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Pr>
      <w:szCs w:val="20"/>
    </w:rPr>
  </w:style>
  <w:style w:type="character" w:styleId="af4" w:customStyle="1">
    <w:name w:val="Текст сноски Знак"/>
    <w:basedOn w:val="a0"/>
    <w:link w:val="af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pPr>
      <w:widowControl w:val="off"/>
    </w:pPr>
    <w:rPr>
      <w:sz w:val="24"/>
      <w:szCs w:val="24"/>
    </w:rPr>
  </w:style>
  <w:style w:type="character" w:styleId="af8" w:customStyle="1">
    <w:name w:val="Основной текст Знак"/>
    <w:basedOn w:val="a0"/>
    <w:link w:val="af7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styleId="NormalTable1" w:customStyle="1">
    <w:name w:val="Normal Table 1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1" w:customStyle="1">
    <w:name w:val="Normal 1"/>
    <w:qFormat/>
  </w:style>
  <w:style w:type="numbering" w:styleId="NoList1" w:customStyle="1">
    <w:name w:val="No List 1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/>
      <w:sz w:val="20"/>
    </w:rPr>
  </w:style>
  <w:style w:type="character" w:styleId="DefaultParagraphFont1" w:customStyle="1">
    <w:name w:val="Default Paragraph Font 1"/>
    <w:uiPriority w:val="1"/>
    <w:semiHidden/>
    <w:unhideWhenUsed/>
  </w:style>
  <w:style w:type="table" w:styleId="NormalTable2" w:customStyle="1">
    <w:name w:val="Normal Table 2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2" w:customStyle="1">
    <w:name w:val="Normal 2"/>
    <w:qFormat/>
  </w:style>
  <w:style w:type="numbering" w:styleId="NoList2" w:customStyle="1">
    <w:name w:val="No List 2"/>
    <w:uiPriority w:val="99"/>
    <w:semiHidden/>
    <w:unhideWhenUsed/>
  </w:style>
  <w:style w:type="paragraph" w:styleId="ConsPlusNormal1" w:customStyle="1">
    <w:name w:val="ConsPlusNormal 1"/>
    <w:pPr>
      <w:widowControl w:val="off"/>
      <w:spacing w:after="0" w:line="240" w:lineRule="auto"/>
    </w:pPr>
    <w:rPr>
      <w:rFonts w:ascii="Calibri" w:hAnsi="Calibri" w:cs="Calibri"/>
    </w:rPr>
  </w:style>
  <w:style w:type="paragraph" w:styleId="endnotetext1" w:customStyle="1">
    <w:name w:val="endnote text 1"/>
    <w:basedOn w:val="Normal2"/>
    <w:link w:val="1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0" w:customStyle="1">
    <w:name w:val="Текст концевой сноски Знак 1"/>
    <w:basedOn w:val="DefaultParagraphFont2"/>
    <w:link w:val="endnotetext1"/>
    <w:uiPriority w:val="99"/>
    <w:semiHidden/>
    <w:rPr>
      <w:sz w:val="20"/>
      <w:szCs w:val="20"/>
    </w:rPr>
  </w:style>
  <w:style w:type="character" w:styleId="endnotereference1" w:customStyle="1">
    <w:name w:val="endnote reference 1"/>
    <w:basedOn w:val="DefaultParagraphFont2"/>
    <w:uiPriority w:val="99"/>
    <w:semiHidden/>
    <w:unhideWhenUsed/>
    <w:rPr>
      <w:vertAlign w:val="superscript"/>
    </w:rPr>
  </w:style>
  <w:style w:type="paragraph" w:styleId="footnotetext1" w:customStyle="1">
    <w:name w:val="footnote text 1"/>
    <w:basedOn w:val="Normal2"/>
    <w:link w:val="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1" w:customStyle="1">
    <w:name w:val="Текст сноски Знак 1"/>
    <w:basedOn w:val="DefaultParagraphFont2"/>
    <w:link w:val="footnotetext1"/>
    <w:uiPriority w:val="99"/>
    <w:semiHidden/>
    <w:rPr>
      <w:sz w:val="20"/>
      <w:szCs w:val="20"/>
    </w:rPr>
  </w:style>
  <w:style w:type="paragraph" w:styleId="ConsPlusNonformat1" w:customStyle="1">
    <w:name w:val="ConsPlusNonformat 1"/>
    <w:pPr>
      <w:widowControl w:val="off"/>
      <w:spacing w:after="0" w:line="240" w:lineRule="auto"/>
    </w:pPr>
    <w:rPr>
      <w:rFonts w:ascii="Courier New" w:hAnsi="Courier New" w:cs="Courier New"/>
      <w:sz w:val="20"/>
    </w:rPr>
  </w:style>
  <w:style w:type="character" w:styleId="footnotereference1" w:customStyle="1">
    <w:name w:val="footnote reference 1"/>
    <w:basedOn w:val="DefaultParagraphFont2"/>
    <w:uiPriority w:val="99"/>
    <w:semiHidden/>
    <w:unhideWhenUsed/>
    <w:rPr>
      <w:vertAlign w:val="superscript"/>
    </w:rPr>
  </w:style>
  <w:style w:type="character" w:styleId="DefaultParagraphFont2" w:customStyle="1">
    <w:name w:val="Default Paragraph Font 2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emf"/><Relationship Id="rId15" Type="http://schemas.openxmlformats.org/officeDocument/2006/relationships/image" Target="media/media1.svg"/><Relationship Id="rId16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7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14A8-FCF9-44A8-83A9-B70AB5E7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haracters>16935</Characters>
  <CharactersWithSpaces>19866</CharactersWithSpaces>
  <Company>rtlabs.ru</Company>
  <DocSecurity>0</DocSecurity>
  <HyperlinksChanged>false</HyperlinksChanged>
  <Lines>141</Lines>
  <LinksUpToDate>false</LinksUpToDate>
  <Pages>13</Pages>
  <Paragraphs>39</Paragraphs>
  <ScaleCrop>false</ScaleCrop>
  <SharedDoc>false</SharedDoc>
  <Template>Normal.dotm</Template>
  <TotalTime>47</TotalTime>
  <Words>2970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RNA121</cp:lastModifiedBy>
  <cp:revision>6</cp:revision>
  <dcterms:created xsi:type="dcterms:W3CDTF">2025-03-06T01:51:00Z</dcterms:created>
  <dcterms:modified xsi:type="dcterms:W3CDTF">2025-03-06T11:35:00Z</dcterms:modified>
</cp:coreProperties>
</file>