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C5" w:rsidRPr="006B55E4" w:rsidRDefault="00BA14C5" w:rsidP="00BA14C5">
      <w:pPr>
        <w:pStyle w:val="ConsPlusNormal"/>
        <w:ind w:firstLine="709"/>
        <w:jc w:val="right"/>
        <w:rPr>
          <w:sz w:val="24"/>
          <w:szCs w:val="24"/>
        </w:rPr>
      </w:pPr>
      <w:r w:rsidRPr="006B55E4">
        <w:rPr>
          <w:sz w:val="24"/>
          <w:szCs w:val="24"/>
        </w:rPr>
        <w:t>Приложение 5</w:t>
      </w:r>
    </w:p>
    <w:p w:rsidR="00BA14C5" w:rsidRPr="00B03D47" w:rsidRDefault="00BA14C5" w:rsidP="00BA14C5">
      <w:pPr>
        <w:pStyle w:val="ConsPlusNormal"/>
        <w:ind w:firstLine="709"/>
        <w:jc w:val="both"/>
      </w:pPr>
      <w:bookmarkStart w:id="0" w:name="_GoBack"/>
      <w:bookmarkEnd w:id="0"/>
    </w:p>
    <w:p w:rsidR="00BA14C5" w:rsidRDefault="00BA14C5" w:rsidP="00BA14C5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07D7">
        <w:rPr>
          <w:rFonts w:ascii="Times New Roman" w:hAnsi="Times New Roman" w:cs="Times New Roman"/>
          <w:b/>
          <w:color w:val="auto"/>
          <w:sz w:val="28"/>
          <w:szCs w:val="28"/>
        </w:rPr>
        <w:t>Отчет о реализации Плана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программы</w:t>
      </w:r>
    </w:p>
    <w:p w:rsidR="00BA14C5" w:rsidRPr="00B03D47" w:rsidRDefault="00BA14C5" w:rsidP="00BA14C5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Забайкальского края</w:t>
      </w:r>
      <w:r w:rsidR="006B55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B55E4" w:rsidRPr="006B55E4">
        <w:rPr>
          <w:rFonts w:ascii="Times New Roman" w:hAnsi="Times New Roman" w:cs="Times New Roman"/>
          <w:b/>
          <w:color w:val="auto"/>
          <w:sz w:val="28"/>
          <w:szCs w:val="28"/>
        </w:rPr>
        <w:t>«Развитие физической культуры и спорта в Забайкальском крае»</w:t>
      </w: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 </w:t>
      </w:r>
      <w:r w:rsidR="006B55E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6B55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полугодие</w:t>
      </w: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6B55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19 </w:t>
      </w: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>год</w:t>
      </w:r>
      <w:r w:rsidR="006B55E4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BA14C5" w:rsidRPr="006B55E4" w:rsidRDefault="006B55E4" w:rsidP="00BA14C5">
      <w:pPr>
        <w:pStyle w:val="ConsPlusNormal"/>
        <w:ind w:firstLine="709"/>
        <w:jc w:val="center"/>
        <w:rPr>
          <w:u w:val="single"/>
          <w:lang w:bidi="ru-RU"/>
        </w:rPr>
      </w:pPr>
      <w:r w:rsidRPr="006B55E4">
        <w:rPr>
          <w:u w:val="single"/>
          <w:lang w:bidi="ru-RU"/>
        </w:rPr>
        <w:t>Министерство физической культуры и спорта Забайкальского края</w:t>
      </w:r>
    </w:p>
    <w:p w:rsidR="00BA14C5" w:rsidRPr="00B03D47" w:rsidRDefault="00BA14C5" w:rsidP="00BA14C5">
      <w:pPr>
        <w:pStyle w:val="ConsPlusNormal"/>
        <w:ind w:firstLine="709"/>
        <w:jc w:val="both"/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34"/>
        <w:gridCol w:w="2960"/>
        <w:gridCol w:w="1984"/>
        <w:gridCol w:w="1772"/>
        <w:gridCol w:w="3190"/>
        <w:gridCol w:w="4536"/>
      </w:tblGrid>
      <w:tr w:rsidR="00BA14C5" w:rsidRPr="00B03D47" w:rsidTr="00AC58C0">
        <w:trPr>
          <w:trHeight w:val="276"/>
          <w:tblHeader/>
        </w:trPr>
        <w:tc>
          <w:tcPr>
            <w:tcW w:w="834" w:type="dxa"/>
            <w:vMerge w:val="restart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№</w:t>
            </w:r>
          </w:p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60" w:type="dxa"/>
            <w:vMerge w:val="restart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Наименование подпрограммы, основного мероприятия, ведомственной целевой программы, контрольного события </w:t>
            </w:r>
          </w:p>
        </w:tc>
        <w:tc>
          <w:tcPr>
            <w:tcW w:w="1984" w:type="dxa"/>
            <w:vMerge w:val="restart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72" w:type="dxa"/>
            <w:vMerge w:val="restart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Статус контрольного события</w:t>
            </w:r>
          </w:p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(выполнено / не выполнено)</w:t>
            </w:r>
          </w:p>
        </w:tc>
        <w:tc>
          <w:tcPr>
            <w:tcW w:w="3190" w:type="dxa"/>
            <w:vMerge w:val="restart"/>
            <w:vAlign w:val="center"/>
          </w:tcPr>
          <w:p w:rsidR="00BA14C5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Результат реализации </w:t>
            </w:r>
          </w:p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  <w:vMerge w:val="restart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Причины не выполнения, предложения по реализации мероприятия</w:t>
            </w:r>
          </w:p>
        </w:tc>
      </w:tr>
      <w:tr w:rsidR="00BA14C5" w:rsidRPr="00B03D47" w:rsidTr="00AC58C0">
        <w:trPr>
          <w:trHeight w:val="276"/>
          <w:tblHeader/>
        </w:trPr>
        <w:tc>
          <w:tcPr>
            <w:tcW w:w="834" w:type="dxa"/>
            <w:vMerge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A14C5" w:rsidRPr="00B03D47" w:rsidTr="00AC58C0">
        <w:trPr>
          <w:tblHeader/>
        </w:trPr>
        <w:tc>
          <w:tcPr>
            <w:tcW w:w="834" w:type="dxa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6</w:t>
            </w:r>
          </w:p>
        </w:tc>
      </w:tr>
      <w:tr w:rsidR="006B55E4" w:rsidRPr="00B03D47" w:rsidTr="00773A7C">
        <w:tc>
          <w:tcPr>
            <w:tcW w:w="834" w:type="dxa"/>
          </w:tcPr>
          <w:p w:rsidR="006B55E4" w:rsidRPr="00B03D47" w:rsidRDefault="006B55E4" w:rsidP="006B55E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6B55E4" w:rsidRPr="00213C51" w:rsidRDefault="006B55E4" w:rsidP="006B55E4">
            <w:pPr>
              <w:rPr>
                <w:rFonts w:ascii="Times New Roman" w:hAnsi="Times New Roman" w:cs="Times New Roman"/>
                <w:b/>
              </w:rPr>
            </w:pPr>
            <w:r w:rsidRPr="00213C51">
              <w:rPr>
                <w:rFonts w:ascii="Times New Roman" w:hAnsi="Times New Roman" w:cs="Times New Roman"/>
                <w:b/>
              </w:rPr>
              <w:t>Подпрограмма «Развитие массового спорта в Забайкальском крае»</w:t>
            </w:r>
          </w:p>
        </w:tc>
        <w:tc>
          <w:tcPr>
            <w:tcW w:w="1984" w:type="dxa"/>
            <w:vAlign w:val="center"/>
          </w:tcPr>
          <w:p w:rsidR="006B55E4" w:rsidRPr="00B3579F" w:rsidRDefault="006B55E4" w:rsidP="006B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Серёдкин А.К. – начальник отдела развития </w:t>
            </w:r>
            <w:r>
              <w:rPr>
                <w:rFonts w:ascii="Times New Roman" w:hAnsi="Times New Roman" w:cs="Times New Roman"/>
              </w:rPr>
              <w:t>физической культуры и массового спорта</w:t>
            </w:r>
          </w:p>
        </w:tc>
        <w:tc>
          <w:tcPr>
            <w:tcW w:w="1772" w:type="dxa"/>
          </w:tcPr>
          <w:p w:rsidR="006B55E4" w:rsidRPr="00B03D47" w:rsidRDefault="006B55E4" w:rsidP="006B55E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B55E4" w:rsidRPr="00B03D47" w:rsidRDefault="006B55E4" w:rsidP="006B55E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B55E4" w:rsidRPr="00B03D47" w:rsidRDefault="006B55E4" w:rsidP="006B55E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55E4" w:rsidRPr="00B03D47" w:rsidTr="00773A7C">
        <w:tc>
          <w:tcPr>
            <w:tcW w:w="834" w:type="dxa"/>
          </w:tcPr>
          <w:p w:rsidR="006B55E4" w:rsidRPr="00B03D47" w:rsidRDefault="006B55E4" w:rsidP="006B55E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60" w:type="dxa"/>
            <w:vAlign w:val="center"/>
          </w:tcPr>
          <w:p w:rsidR="006B55E4" w:rsidRPr="00B3579F" w:rsidRDefault="006B55E4" w:rsidP="006B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подпрограммы: «</w:t>
            </w:r>
            <w:r w:rsidRPr="001665E6">
              <w:rPr>
                <w:rFonts w:ascii="Times New Roman" w:hAnsi="Times New Roman" w:cs="Times New Roman"/>
              </w:rPr>
              <w:t>Физическое воспитание и обеспечение организации и проведения физку</w:t>
            </w:r>
            <w:r>
              <w:rPr>
                <w:rFonts w:ascii="Times New Roman" w:hAnsi="Times New Roman" w:cs="Times New Roman"/>
              </w:rPr>
              <w:t xml:space="preserve">льтурных и массовых спортивных </w:t>
            </w:r>
            <w:r w:rsidRPr="001665E6">
              <w:rPr>
                <w:rFonts w:ascii="Times New Roman" w:hAnsi="Times New Roman" w:cs="Times New Roman"/>
              </w:rPr>
              <w:t>мероприятий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6B55E4" w:rsidRPr="00B3579F" w:rsidRDefault="006B55E4" w:rsidP="006B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Хоботов В.А. – консультант отдела развития физической культуры и массового спорта</w:t>
            </w:r>
          </w:p>
        </w:tc>
        <w:tc>
          <w:tcPr>
            <w:tcW w:w="1772" w:type="dxa"/>
          </w:tcPr>
          <w:p w:rsidR="006B55E4" w:rsidRPr="00B03D47" w:rsidRDefault="006B55E4" w:rsidP="006B55E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B55E4" w:rsidRPr="00B03D47" w:rsidRDefault="006B55E4" w:rsidP="006B55E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B55E4" w:rsidRPr="00B03D47" w:rsidRDefault="006B55E4" w:rsidP="006B55E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A6DD1" w:rsidRPr="00B03D47" w:rsidTr="00773A7C">
        <w:tc>
          <w:tcPr>
            <w:tcW w:w="834" w:type="dxa"/>
          </w:tcPr>
          <w:p w:rsidR="00FA6DD1" w:rsidRPr="00B03D47" w:rsidRDefault="00FA6DD1" w:rsidP="00FA6D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960" w:type="dxa"/>
            <w:vAlign w:val="center"/>
          </w:tcPr>
          <w:p w:rsidR="00FA6DD1" w:rsidRDefault="00FA6DD1" w:rsidP="00FA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1: «</w:t>
            </w:r>
            <w:r w:rsidRPr="001665E6">
              <w:rPr>
                <w:rFonts w:ascii="Times New Roman" w:hAnsi="Times New Roman" w:cs="Times New Roman"/>
              </w:rPr>
              <w:t xml:space="preserve">Количество организованных и </w:t>
            </w:r>
            <w:r w:rsidRPr="001665E6">
              <w:rPr>
                <w:rFonts w:ascii="Times New Roman" w:hAnsi="Times New Roman" w:cs="Times New Roman"/>
              </w:rPr>
              <w:lastRenderedPageBreak/>
              <w:t>проведенных физкультурных мероприятий и массовых спортивных мероприятий в Забайкальском крае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FA6DD1" w:rsidRPr="00B3579F" w:rsidRDefault="00FA6DD1" w:rsidP="00FA6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Хоботов В.А. – консультант отдела развития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культуры и массового спорта</w:t>
            </w:r>
          </w:p>
        </w:tc>
        <w:tc>
          <w:tcPr>
            <w:tcW w:w="1772" w:type="dxa"/>
          </w:tcPr>
          <w:p w:rsidR="00FA6DD1" w:rsidRPr="00B03D47" w:rsidRDefault="00FA6DD1" w:rsidP="00FA6D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3190" w:type="dxa"/>
          </w:tcPr>
          <w:p w:rsidR="00FA6DD1" w:rsidRDefault="00FA6DD1" w:rsidP="00FA6D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16 физкультурных мероприятий, среди них:</w:t>
            </w:r>
          </w:p>
          <w:p w:rsidR="00FA6DD1" w:rsidRPr="00B03D47" w:rsidRDefault="00FA6DD1" w:rsidP="0085750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</w:t>
            </w:r>
            <w:r w:rsidRPr="00AC58C0">
              <w:rPr>
                <w:sz w:val="24"/>
                <w:szCs w:val="24"/>
              </w:rPr>
              <w:t>ентральный старт открытой Всероссийской массовой лыжной гонк</w:t>
            </w:r>
            <w:r>
              <w:rPr>
                <w:sz w:val="24"/>
                <w:szCs w:val="24"/>
              </w:rPr>
              <w:t xml:space="preserve">и «Лыжня России», </w:t>
            </w:r>
            <w:r w:rsidRPr="00AC58C0">
              <w:rPr>
                <w:sz w:val="24"/>
                <w:szCs w:val="24"/>
              </w:rPr>
              <w:t>центральный старт Всероссийских массовых соревнований по конькобежному спорту «Лед надежды нашей»</w:t>
            </w:r>
            <w:r>
              <w:rPr>
                <w:sz w:val="24"/>
                <w:szCs w:val="24"/>
              </w:rPr>
              <w:t>,</w:t>
            </w:r>
            <w:r w:rsidRPr="00AC58C0">
              <w:rPr>
                <w:sz w:val="24"/>
                <w:szCs w:val="24"/>
              </w:rPr>
              <w:t xml:space="preserve"> XII Спартакиада молодежи допризывного возраста, </w:t>
            </w:r>
            <w:r>
              <w:rPr>
                <w:sz w:val="24"/>
                <w:szCs w:val="24"/>
              </w:rPr>
              <w:t>с</w:t>
            </w:r>
            <w:r w:rsidRPr="00AC58C0">
              <w:rPr>
                <w:sz w:val="24"/>
                <w:szCs w:val="24"/>
              </w:rPr>
              <w:t>партакиада п</w:t>
            </w:r>
            <w:r>
              <w:rPr>
                <w:sz w:val="24"/>
                <w:szCs w:val="24"/>
              </w:rPr>
              <w:t xml:space="preserve">енсионеров Забайкальского края, </w:t>
            </w:r>
            <w:r w:rsidRPr="00AC58C0">
              <w:rPr>
                <w:sz w:val="24"/>
                <w:szCs w:val="24"/>
              </w:rPr>
              <w:t>XXX Всероссийский Олимпийский день</w:t>
            </w:r>
            <w:r>
              <w:rPr>
                <w:sz w:val="24"/>
                <w:szCs w:val="24"/>
              </w:rPr>
              <w:t>,</w:t>
            </w:r>
            <w:r w:rsidRPr="00AC58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AC58C0">
              <w:rPr>
                <w:sz w:val="24"/>
                <w:szCs w:val="24"/>
              </w:rPr>
              <w:t xml:space="preserve">лета казачьей молодежи </w:t>
            </w:r>
            <w:r>
              <w:rPr>
                <w:sz w:val="24"/>
                <w:szCs w:val="24"/>
              </w:rPr>
              <w:t>и др.</w:t>
            </w:r>
          </w:p>
        </w:tc>
        <w:tc>
          <w:tcPr>
            <w:tcW w:w="4536" w:type="dxa"/>
          </w:tcPr>
          <w:p w:rsidR="00FA6DD1" w:rsidRPr="00B03D47" w:rsidRDefault="00FA6DD1" w:rsidP="00FA6DD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A6DD1" w:rsidRPr="00B03D47" w:rsidTr="00773A7C">
        <w:tc>
          <w:tcPr>
            <w:tcW w:w="834" w:type="dxa"/>
          </w:tcPr>
          <w:p w:rsidR="00FA6DD1" w:rsidRDefault="004473EE" w:rsidP="00FA6D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60" w:type="dxa"/>
            <w:vAlign w:val="center"/>
          </w:tcPr>
          <w:p w:rsidR="00FA6DD1" w:rsidRDefault="00FA6DD1" w:rsidP="00FA6DD1">
            <w:r w:rsidRPr="00B101B5">
              <w:rPr>
                <w:rFonts w:ascii="Times New Roman" w:hAnsi="Times New Roman" w:cs="Times New Roman"/>
              </w:rPr>
              <w:t>Основное мероприятие 2 «Поддержка создания и деятельности социально ориентированных некоммерческих организаций, оказывающих услуги в области физической культуры и спорта»</w:t>
            </w:r>
          </w:p>
        </w:tc>
        <w:tc>
          <w:tcPr>
            <w:tcW w:w="1984" w:type="dxa"/>
            <w:vAlign w:val="center"/>
          </w:tcPr>
          <w:p w:rsidR="00FA6DD1" w:rsidRPr="00B3579F" w:rsidRDefault="00FA6DD1" w:rsidP="00FA6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Серёдкин А.К. – начальник отдела развития </w:t>
            </w:r>
            <w:r>
              <w:rPr>
                <w:rFonts w:ascii="Times New Roman" w:hAnsi="Times New Roman" w:cs="Times New Roman"/>
              </w:rPr>
              <w:t>физической культуры и массового спорта</w:t>
            </w:r>
          </w:p>
        </w:tc>
        <w:tc>
          <w:tcPr>
            <w:tcW w:w="1772" w:type="dxa"/>
          </w:tcPr>
          <w:p w:rsidR="00FA6DD1" w:rsidRDefault="00FA6DD1" w:rsidP="00FA6DD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A6DD1" w:rsidRPr="00B03D47" w:rsidRDefault="00FA6DD1" w:rsidP="00FA6DD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A6DD1" w:rsidRPr="00B03D47" w:rsidRDefault="00FA6DD1" w:rsidP="00FA6DD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A6DD1" w:rsidRPr="00B03D47" w:rsidTr="00773A7C">
        <w:tc>
          <w:tcPr>
            <w:tcW w:w="834" w:type="dxa"/>
          </w:tcPr>
          <w:p w:rsidR="00FA6DD1" w:rsidRDefault="004473EE" w:rsidP="00FA6D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960" w:type="dxa"/>
            <w:vAlign w:val="center"/>
          </w:tcPr>
          <w:p w:rsidR="00FA6DD1" w:rsidRPr="00B101B5" w:rsidRDefault="00FA6DD1" w:rsidP="00FA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1: «</w:t>
            </w:r>
            <w:r w:rsidRPr="000A7463">
              <w:rPr>
                <w:rFonts w:ascii="Times New Roman" w:hAnsi="Times New Roman" w:cs="Times New Roman"/>
              </w:rPr>
              <w:t xml:space="preserve">Количество </w:t>
            </w:r>
            <w:r w:rsidRPr="000A7463">
              <w:rPr>
                <w:rFonts w:ascii="Times New Roman" w:hAnsi="Times New Roman" w:cs="Times New Roman"/>
              </w:rPr>
              <w:lastRenderedPageBreak/>
              <w:t>официальных физкультурных (физкультурно-оздоровительных) мероприятий, организованных социально ориентированными некоммерческими организациями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FA6DD1" w:rsidRPr="00B3579F" w:rsidRDefault="00FA6DD1" w:rsidP="00FA6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Серёдкин А.К. – начальник </w:t>
            </w:r>
            <w:r>
              <w:rPr>
                <w:rFonts w:ascii="Times New Roman" w:hAnsi="Times New Roman"/>
              </w:rPr>
              <w:lastRenderedPageBreak/>
              <w:t xml:space="preserve">отдела развития </w:t>
            </w:r>
            <w:r>
              <w:rPr>
                <w:rFonts w:ascii="Times New Roman" w:hAnsi="Times New Roman" w:cs="Times New Roman"/>
              </w:rPr>
              <w:t>физической культуры и массового спорта</w:t>
            </w:r>
          </w:p>
        </w:tc>
        <w:tc>
          <w:tcPr>
            <w:tcW w:w="1772" w:type="dxa"/>
          </w:tcPr>
          <w:p w:rsidR="00FA6DD1" w:rsidRDefault="00FA6DD1" w:rsidP="00FA6D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3190" w:type="dxa"/>
          </w:tcPr>
          <w:p w:rsidR="00FA6DD1" w:rsidRPr="00B03D47" w:rsidRDefault="00857504" w:rsidP="0085750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 ориентированными </w:t>
            </w:r>
            <w:r>
              <w:rPr>
                <w:sz w:val="24"/>
                <w:szCs w:val="24"/>
              </w:rPr>
              <w:lastRenderedPageBreak/>
              <w:t xml:space="preserve">некоммерческими организациями проведено </w:t>
            </w:r>
            <w:r w:rsidRPr="00857504">
              <w:rPr>
                <w:sz w:val="24"/>
                <w:szCs w:val="24"/>
              </w:rPr>
              <w:t>4 мероприятия</w:t>
            </w:r>
            <w:r>
              <w:rPr>
                <w:sz w:val="24"/>
                <w:szCs w:val="24"/>
              </w:rPr>
              <w:t xml:space="preserve">, среди которых </w:t>
            </w:r>
            <w:r>
              <w:rPr>
                <w:sz w:val="24"/>
                <w:szCs w:val="24"/>
              </w:rPr>
              <w:t>региональная</w:t>
            </w:r>
            <w:r w:rsidRPr="00AC58C0">
              <w:rPr>
                <w:sz w:val="24"/>
                <w:szCs w:val="24"/>
              </w:rPr>
              <w:t xml:space="preserve"> спартакиад</w:t>
            </w:r>
            <w:r>
              <w:rPr>
                <w:sz w:val="24"/>
                <w:szCs w:val="24"/>
              </w:rPr>
              <w:t>а</w:t>
            </w:r>
            <w:r w:rsidRPr="00AC58C0">
              <w:rPr>
                <w:sz w:val="24"/>
                <w:szCs w:val="24"/>
              </w:rPr>
              <w:t xml:space="preserve"> среди дет</w:t>
            </w:r>
            <w:r>
              <w:rPr>
                <w:sz w:val="24"/>
                <w:szCs w:val="24"/>
              </w:rPr>
              <w:t>ей «От массовости к мастерству» по волейболу и соревнования комплекса ГТО,</w:t>
            </w:r>
            <w:r>
              <w:rPr>
                <w:sz w:val="24"/>
                <w:szCs w:val="24"/>
              </w:rPr>
              <w:t xml:space="preserve"> </w:t>
            </w:r>
            <w:r w:rsidRPr="00AC58C0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артакиада среди детей инвалидов.</w:t>
            </w:r>
          </w:p>
        </w:tc>
        <w:tc>
          <w:tcPr>
            <w:tcW w:w="4536" w:type="dxa"/>
          </w:tcPr>
          <w:p w:rsidR="00FA6DD1" w:rsidRPr="00B03D47" w:rsidRDefault="00FA6DD1" w:rsidP="00FA6DD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A6352" w:rsidRPr="00B03D47" w:rsidTr="00883030">
        <w:tc>
          <w:tcPr>
            <w:tcW w:w="834" w:type="dxa"/>
          </w:tcPr>
          <w:p w:rsidR="00EA6352" w:rsidRDefault="004473EE" w:rsidP="00EA63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EA6352" w:rsidRPr="00213C51" w:rsidRDefault="00EA6352" w:rsidP="00EA6352">
            <w:pPr>
              <w:rPr>
                <w:rFonts w:ascii="Times New Roman" w:hAnsi="Times New Roman" w:cs="Times New Roman"/>
                <w:b/>
              </w:rPr>
            </w:pPr>
            <w:r w:rsidRPr="00213C51">
              <w:rPr>
                <w:rFonts w:ascii="Times New Roman" w:hAnsi="Times New Roman" w:cs="Times New Roman"/>
                <w:b/>
              </w:rPr>
              <w:t>Подпрограмма «Подготовка спортивного резерва в Забайкальском крае»</w:t>
            </w:r>
          </w:p>
        </w:tc>
        <w:tc>
          <w:tcPr>
            <w:tcW w:w="1984" w:type="dxa"/>
            <w:vAlign w:val="center"/>
          </w:tcPr>
          <w:p w:rsidR="00EA6352" w:rsidRPr="00B3579F" w:rsidRDefault="00EA6352" w:rsidP="00EA6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Кулигин А.И. – начальник отдела</w:t>
            </w:r>
            <w:r w:rsidRPr="00DE4EC1">
              <w:rPr>
                <w:rFonts w:ascii="Times New Roman" w:hAnsi="Times New Roman" w:cs="Times New Roman"/>
              </w:rPr>
              <w:t xml:space="preserve"> спорта высших достижений и подготовки спортивного резерва</w:t>
            </w:r>
          </w:p>
        </w:tc>
        <w:tc>
          <w:tcPr>
            <w:tcW w:w="1772" w:type="dxa"/>
          </w:tcPr>
          <w:p w:rsidR="00EA6352" w:rsidRDefault="00EA6352" w:rsidP="00EA6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A6352" w:rsidRDefault="00EA6352" w:rsidP="00EA6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6352" w:rsidRPr="00B03D47" w:rsidRDefault="00EA6352" w:rsidP="00EA6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A6352" w:rsidRPr="00B03D47" w:rsidTr="00773A7C">
        <w:tc>
          <w:tcPr>
            <w:tcW w:w="834" w:type="dxa"/>
          </w:tcPr>
          <w:p w:rsidR="00EA6352" w:rsidRDefault="004473EE" w:rsidP="00EA63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960" w:type="dxa"/>
            <w:vAlign w:val="center"/>
          </w:tcPr>
          <w:p w:rsidR="00EA6352" w:rsidRPr="001B2658" w:rsidRDefault="00EA6352" w:rsidP="00EA6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«</w:t>
            </w:r>
            <w:r w:rsidRPr="00373C49">
              <w:rPr>
                <w:rFonts w:ascii="Times New Roman" w:hAnsi="Times New Roman" w:cs="Times New Roman"/>
              </w:rPr>
              <w:t xml:space="preserve">Выполнение работ по организации и проведению в соответствии с календарным планом спортивных мероприятий   межмуниципального, </w:t>
            </w:r>
            <w:r w:rsidRPr="00373C49">
              <w:rPr>
                <w:rFonts w:ascii="Times New Roman" w:hAnsi="Times New Roman" w:cs="Times New Roman"/>
              </w:rPr>
              <w:lastRenderedPageBreak/>
              <w:t>регионального, всероссийского, международного уровней,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регио</w:t>
            </w:r>
            <w:r>
              <w:rPr>
                <w:rFonts w:ascii="Times New Roman" w:hAnsi="Times New Roman" w:cs="Times New Roman"/>
              </w:rPr>
              <w:t>н</w:t>
            </w:r>
            <w:r w:rsidRPr="00373C49">
              <w:rPr>
                <w:rFonts w:ascii="Times New Roman" w:hAnsi="Times New Roman" w:cs="Times New Roman"/>
              </w:rPr>
              <w:t>ального, межрегионального, всеросси</w:t>
            </w:r>
            <w:r>
              <w:rPr>
                <w:rFonts w:ascii="Times New Roman" w:hAnsi="Times New Roman" w:cs="Times New Roman"/>
              </w:rPr>
              <w:t>йского и международного уровней»</w:t>
            </w:r>
          </w:p>
        </w:tc>
        <w:tc>
          <w:tcPr>
            <w:tcW w:w="1984" w:type="dxa"/>
            <w:vAlign w:val="center"/>
          </w:tcPr>
          <w:p w:rsidR="00EA6352" w:rsidRPr="00B3579F" w:rsidRDefault="00EA6352" w:rsidP="00EA6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  <w:r w:rsidRPr="00DE4EC1">
              <w:rPr>
                <w:rFonts w:ascii="Times New Roman" w:hAnsi="Times New Roman" w:cs="Times New Roman"/>
              </w:rPr>
              <w:t xml:space="preserve"> спорта высших достижений и подготовки спортивного резерва</w:t>
            </w:r>
          </w:p>
        </w:tc>
        <w:tc>
          <w:tcPr>
            <w:tcW w:w="1772" w:type="dxa"/>
          </w:tcPr>
          <w:p w:rsidR="00EA6352" w:rsidRDefault="00EA6352" w:rsidP="00EA6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A6352" w:rsidRDefault="00EA6352" w:rsidP="00EA6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6352" w:rsidRPr="00B03D47" w:rsidRDefault="00EA6352" w:rsidP="00EA6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A6352" w:rsidRPr="00B03D47" w:rsidTr="00773A7C">
        <w:tc>
          <w:tcPr>
            <w:tcW w:w="834" w:type="dxa"/>
          </w:tcPr>
          <w:p w:rsidR="00EA6352" w:rsidRDefault="004473EE" w:rsidP="00EA63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2960" w:type="dxa"/>
            <w:vAlign w:val="center"/>
          </w:tcPr>
          <w:p w:rsidR="00EA6352" w:rsidRDefault="00EA6352" w:rsidP="00EA6352">
            <w:r w:rsidRPr="001B2658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1: «</w:t>
            </w:r>
            <w:r w:rsidRPr="00373C49">
              <w:rPr>
                <w:rFonts w:ascii="Times New Roman" w:hAnsi="Times New Roman" w:cs="Times New Roman"/>
              </w:rPr>
              <w:t>Количество организованных и проведенных спортивных мероприятий межмуниципального, регионального, межрегионального, всероссийского уровня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EA6352" w:rsidRPr="00B3579F" w:rsidRDefault="00EA6352" w:rsidP="00EA6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DE4EC1">
              <w:rPr>
                <w:rFonts w:ascii="Times New Roman" w:hAnsi="Times New Roman" w:cs="Times New Roman"/>
              </w:rPr>
              <w:t xml:space="preserve"> спорта высших достижений и подготовки спортивного резерва</w:t>
            </w:r>
          </w:p>
        </w:tc>
        <w:tc>
          <w:tcPr>
            <w:tcW w:w="1772" w:type="dxa"/>
          </w:tcPr>
          <w:p w:rsidR="00EA6352" w:rsidRDefault="00EA6352" w:rsidP="00EA63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190" w:type="dxa"/>
          </w:tcPr>
          <w:p w:rsidR="00EA6352" w:rsidRDefault="004473EE" w:rsidP="004473E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3 спортивных мероприятия, включая первенства, чемпионаты </w:t>
            </w:r>
            <w:r w:rsidR="006233C5">
              <w:rPr>
                <w:sz w:val="24"/>
                <w:szCs w:val="24"/>
              </w:rPr>
              <w:t>и розыгрыши кубков Забайкальского края</w:t>
            </w:r>
          </w:p>
        </w:tc>
        <w:tc>
          <w:tcPr>
            <w:tcW w:w="4536" w:type="dxa"/>
          </w:tcPr>
          <w:p w:rsidR="00EA6352" w:rsidRPr="00B03D47" w:rsidRDefault="00EA6352" w:rsidP="00EA6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A6352" w:rsidRPr="00B03D47" w:rsidTr="00773A7C">
        <w:tc>
          <w:tcPr>
            <w:tcW w:w="834" w:type="dxa"/>
          </w:tcPr>
          <w:p w:rsidR="00EA6352" w:rsidRDefault="004473EE" w:rsidP="00EA63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960" w:type="dxa"/>
            <w:vAlign w:val="center"/>
          </w:tcPr>
          <w:p w:rsidR="00EA6352" w:rsidRPr="001B2658" w:rsidRDefault="00EA6352" w:rsidP="00EA6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«</w:t>
            </w:r>
            <w:r w:rsidRPr="00F437A4">
              <w:rPr>
                <w:rFonts w:ascii="Times New Roman" w:hAnsi="Times New Roman" w:cs="Times New Roman"/>
              </w:rPr>
              <w:t>Спортивная подготовка по видам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EA6352" w:rsidRPr="00B3579F" w:rsidRDefault="00EA6352" w:rsidP="00EA6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DE4EC1">
              <w:rPr>
                <w:rFonts w:ascii="Times New Roman" w:hAnsi="Times New Roman" w:cs="Times New Roman"/>
              </w:rPr>
              <w:t xml:space="preserve"> спорта высших достижений и подготовки спортивного резерва</w:t>
            </w:r>
          </w:p>
        </w:tc>
        <w:tc>
          <w:tcPr>
            <w:tcW w:w="1772" w:type="dxa"/>
          </w:tcPr>
          <w:p w:rsidR="00EA6352" w:rsidRDefault="00EA6352" w:rsidP="00EA6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A6352" w:rsidRDefault="00EA6352" w:rsidP="00EA6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6352" w:rsidRPr="00B03D47" w:rsidRDefault="00EA6352" w:rsidP="00EA6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A6352" w:rsidRPr="00B03D47" w:rsidTr="00773A7C">
        <w:tc>
          <w:tcPr>
            <w:tcW w:w="834" w:type="dxa"/>
          </w:tcPr>
          <w:p w:rsidR="00EA6352" w:rsidRDefault="004473EE" w:rsidP="00EA63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2960" w:type="dxa"/>
            <w:vAlign w:val="center"/>
          </w:tcPr>
          <w:p w:rsidR="00EA6352" w:rsidRPr="001B2658" w:rsidRDefault="00EA6352" w:rsidP="006233C5">
            <w:pPr>
              <w:rPr>
                <w:rFonts w:ascii="Times New Roman" w:hAnsi="Times New Roman" w:cs="Times New Roman"/>
              </w:rPr>
            </w:pPr>
            <w:r w:rsidRPr="001B2658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2: «</w:t>
            </w:r>
            <w:r w:rsidRPr="00AD66C2">
              <w:rPr>
                <w:rFonts w:ascii="Times New Roman" w:hAnsi="Times New Roman" w:cs="Times New Roman"/>
              </w:rPr>
              <w:t>Число спортсменов, которым присвоен спортивный разряд «кандидат в мастера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EA6352" w:rsidRPr="00B3579F" w:rsidRDefault="00EA6352" w:rsidP="00EA6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DE4EC1">
              <w:rPr>
                <w:rFonts w:ascii="Times New Roman" w:hAnsi="Times New Roman" w:cs="Times New Roman"/>
              </w:rPr>
              <w:t xml:space="preserve"> спорта высших достижений и подготовки спортивного резерва</w:t>
            </w:r>
          </w:p>
        </w:tc>
        <w:tc>
          <w:tcPr>
            <w:tcW w:w="1772" w:type="dxa"/>
          </w:tcPr>
          <w:p w:rsidR="00EA6352" w:rsidRDefault="006233C5" w:rsidP="00EA63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190" w:type="dxa"/>
          </w:tcPr>
          <w:p w:rsidR="00EA6352" w:rsidRDefault="006233C5" w:rsidP="00EA6352">
            <w:pPr>
              <w:pStyle w:val="ConsPlusNormal"/>
              <w:jc w:val="both"/>
              <w:rPr>
                <w:sz w:val="24"/>
                <w:szCs w:val="24"/>
              </w:rPr>
            </w:pPr>
            <w:r w:rsidRPr="00AD66C2">
              <w:rPr>
                <w:sz w:val="24"/>
                <w:szCs w:val="24"/>
              </w:rPr>
              <w:t>спортивный разряд «кандидат в мастера спорта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присвоен 205 спортсменам</w:t>
            </w:r>
          </w:p>
        </w:tc>
        <w:tc>
          <w:tcPr>
            <w:tcW w:w="4536" w:type="dxa"/>
          </w:tcPr>
          <w:p w:rsidR="00EA6352" w:rsidRPr="00B03D47" w:rsidRDefault="00EA6352" w:rsidP="00EA6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BA14C5" w:rsidRPr="00B03D47" w:rsidRDefault="00BA14C5" w:rsidP="00BA14C5">
      <w:pPr>
        <w:pStyle w:val="ConsPlusNormal"/>
        <w:ind w:firstLine="709"/>
        <w:jc w:val="center"/>
      </w:pPr>
    </w:p>
    <w:p w:rsidR="00BA14C5" w:rsidRPr="00B03D47" w:rsidRDefault="00BA14C5" w:rsidP="00BA14C5">
      <w:pPr>
        <w:pStyle w:val="ConsPlusNormal"/>
        <w:ind w:firstLine="709"/>
        <w:jc w:val="center"/>
      </w:pPr>
    </w:p>
    <w:p w:rsidR="00BA14C5" w:rsidRPr="00B03D47" w:rsidRDefault="00BA14C5" w:rsidP="00BA14C5">
      <w:pPr>
        <w:pStyle w:val="ConsPlusNormal"/>
        <w:ind w:firstLine="709"/>
        <w:jc w:val="center"/>
      </w:pPr>
      <w:r w:rsidRPr="00B03D47">
        <w:t>______________</w:t>
      </w:r>
    </w:p>
    <w:p w:rsidR="00BA14C5" w:rsidRPr="00B03D47" w:rsidRDefault="00BA14C5" w:rsidP="00BA14C5">
      <w:pPr>
        <w:pStyle w:val="ConsPlusNormal"/>
        <w:ind w:firstLine="709"/>
        <w:jc w:val="both"/>
      </w:pPr>
    </w:p>
    <w:p w:rsidR="00BA14C5" w:rsidRPr="00B03D47" w:rsidRDefault="00BA14C5" w:rsidP="00BA14C5">
      <w:pPr>
        <w:pStyle w:val="ConsPlusNormal"/>
        <w:ind w:firstLine="709"/>
        <w:jc w:val="right"/>
      </w:pPr>
    </w:p>
    <w:p w:rsidR="00BA14C5" w:rsidRPr="00B03D47" w:rsidRDefault="00BA14C5" w:rsidP="00BA14C5">
      <w:pPr>
        <w:pStyle w:val="ConsPlusNormal"/>
        <w:ind w:firstLine="709"/>
        <w:jc w:val="right"/>
      </w:pPr>
    </w:p>
    <w:p w:rsidR="00BA14C5" w:rsidRDefault="00BA14C5" w:rsidP="00BA14C5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br w:type="page"/>
      </w:r>
    </w:p>
    <w:p w:rsidR="00BA14C5" w:rsidRPr="00B03D47" w:rsidRDefault="00BA14C5" w:rsidP="00BA14C5">
      <w:pPr>
        <w:pStyle w:val="ConsPlusNormal"/>
        <w:ind w:firstLine="709"/>
        <w:jc w:val="right"/>
      </w:pPr>
      <w:r w:rsidRPr="00B03D47">
        <w:lastRenderedPageBreak/>
        <w:t>Приложение 6</w:t>
      </w:r>
    </w:p>
    <w:p w:rsidR="00BA14C5" w:rsidRPr="00B03D47" w:rsidRDefault="00BA14C5" w:rsidP="00BA14C5">
      <w:pPr>
        <w:pStyle w:val="ConsPlusNormal"/>
        <w:ind w:firstLine="709"/>
        <w:jc w:val="both"/>
      </w:pPr>
    </w:p>
    <w:p w:rsidR="00BA14C5" w:rsidRPr="00B03D47" w:rsidRDefault="00BA14C5" w:rsidP="00BA14C5">
      <w:pPr>
        <w:pStyle w:val="ConsPlusNormal"/>
        <w:ind w:firstLine="709"/>
        <w:jc w:val="center"/>
        <w:rPr>
          <w:b/>
        </w:rPr>
      </w:pPr>
    </w:p>
    <w:p w:rsidR="00BA14C5" w:rsidRPr="0026752E" w:rsidRDefault="00BA14C5" w:rsidP="00BA14C5">
      <w:pPr>
        <w:pStyle w:val="ConsPlusNormal"/>
        <w:jc w:val="center"/>
        <w:rPr>
          <w:b/>
        </w:rPr>
      </w:pPr>
      <w:r w:rsidRPr="0026752E">
        <w:rPr>
          <w:b/>
        </w:rPr>
        <w:t>Сведения о выполнении контрольных событий</w:t>
      </w:r>
    </w:p>
    <w:p w:rsidR="004F529F" w:rsidRPr="004F529F" w:rsidRDefault="00BA14C5" w:rsidP="004F529F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529F">
        <w:rPr>
          <w:rFonts w:ascii="Times New Roman" w:hAnsi="Times New Roman" w:cs="Times New Roman"/>
          <w:b/>
          <w:sz w:val="28"/>
          <w:szCs w:val="28"/>
        </w:rPr>
        <w:t>Плана реализации государственной программы Забайкальского края</w:t>
      </w:r>
      <w:r w:rsidR="004F529F" w:rsidRPr="004F5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29F">
        <w:rPr>
          <w:rFonts w:ascii="Times New Roman" w:hAnsi="Times New Roman" w:cs="Times New Roman"/>
          <w:b/>
          <w:sz w:val="28"/>
          <w:szCs w:val="28"/>
        </w:rPr>
        <w:t>«</w:t>
      </w:r>
      <w:r w:rsidR="004F529F" w:rsidRPr="004F52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Развитие физической культуры и спорта в Забайкальском крае» за </w:t>
      </w:r>
      <w:r w:rsidR="004F529F" w:rsidRPr="004F529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4F529F" w:rsidRPr="004F52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полугодие 2019 года.</w:t>
      </w:r>
    </w:p>
    <w:p w:rsidR="004F529F" w:rsidRPr="004F529F" w:rsidRDefault="004F529F" w:rsidP="004F529F">
      <w:pPr>
        <w:pStyle w:val="ConsPlusNormal"/>
        <w:ind w:firstLine="709"/>
        <w:jc w:val="center"/>
        <w:rPr>
          <w:u w:val="single"/>
          <w:lang w:bidi="ru-RU"/>
        </w:rPr>
      </w:pPr>
      <w:r w:rsidRPr="004F529F">
        <w:rPr>
          <w:u w:val="single"/>
          <w:lang w:bidi="ru-RU"/>
        </w:rPr>
        <w:t>Министерство физической культуры и спорта Забайкальского края</w:t>
      </w:r>
    </w:p>
    <w:p w:rsidR="00BA14C5" w:rsidRPr="004F529F" w:rsidRDefault="00BA14C5" w:rsidP="004F529F">
      <w:pPr>
        <w:pStyle w:val="ConsPlusNormal"/>
        <w:jc w:val="center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8"/>
        <w:gridCol w:w="4138"/>
        <w:gridCol w:w="2936"/>
        <w:gridCol w:w="2920"/>
        <w:gridCol w:w="2028"/>
        <w:gridCol w:w="2586"/>
      </w:tblGrid>
      <w:tr w:rsidR="00BA14C5" w:rsidRPr="00B03D47" w:rsidTr="00D82DDC">
        <w:tc>
          <w:tcPr>
            <w:tcW w:w="668" w:type="dxa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№</w:t>
            </w:r>
          </w:p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38" w:type="dxa"/>
            <w:vAlign w:val="center"/>
          </w:tcPr>
          <w:p w:rsidR="00BA14C5" w:rsidRPr="001315EB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315EB">
              <w:rPr>
                <w:b/>
                <w:sz w:val="24"/>
                <w:szCs w:val="24"/>
              </w:rPr>
              <w:t>Наименование государственной программы,</w:t>
            </w:r>
          </w:p>
          <w:p w:rsidR="00BA14C5" w:rsidRPr="001315EB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315EB">
              <w:rPr>
                <w:b/>
                <w:sz w:val="24"/>
                <w:szCs w:val="24"/>
              </w:rPr>
              <w:t xml:space="preserve">подпрограмм государственной программы </w:t>
            </w:r>
          </w:p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Количество запланированных контрольных событий</w:t>
            </w:r>
          </w:p>
          <w:p w:rsidR="00BA14C5" w:rsidRPr="00B03D47" w:rsidRDefault="00BA14C5" w:rsidP="004F529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 на </w:t>
            </w:r>
            <w:r w:rsidR="004F529F">
              <w:rPr>
                <w:b/>
                <w:sz w:val="24"/>
                <w:szCs w:val="24"/>
              </w:rPr>
              <w:t>2019</w:t>
            </w:r>
            <w:r w:rsidRPr="00B03D4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920" w:type="dxa"/>
            <w:vAlign w:val="center"/>
          </w:tcPr>
          <w:p w:rsidR="00BA14C5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Количество </w:t>
            </w:r>
            <w:r>
              <w:rPr>
                <w:b/>
                <w:sz w:val="24"/>
                <w:szCs w:val="24"/>
              </w:rPr>
              <w:t>выполненных</w:t>
            </w:r>
          </w:p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контрольных событий </w:t>
            </w:r>
          </w:p>
          <w:p w:rsidR="00BA14C5" w:rsidRPr="00B03D47" w:rsidRDefault="00BA14C5" w:rsidP="004F529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в </w:t>
            </w:r>
            <w:r w:rsidR="004F529F">
              <w:rPr>
                <w:b/>
                <w:sz w:val="24"/>
                <w:szCs w:val="24"/>
              </w:rPr>
              <w:t>2019</w:t>
            </w:r>
            <w:r w:rsidRPr="00B03D47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028" w:type="dxa"/>
            <w:vAlign w:val="center"/>
          </w:tcPr>
          <w:p w:rsidR="00BA14C5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не выполненных мероприятий</w:t>
            </w:r>
          </w:p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(в том числе частично)</w:t>
            </w:r>
          </w:p>
        </w:tc>
        <w:tc>
          <w:tcPr>
            <w:tcW w:w="2586" w:type="dxa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Причины не выполнения мероприятия, предложения по дальнейшей реализации</w:t>
            </w:r>
          </w:p>
        </w:tc>
      </w:tr>
      <w:tr w:rsidR="00BA14C5" w:rsidRPr="00B03D47" w:rsidTr="00D82DDC">
        <w:tc>
          <w:tcPr>
            <w:tcW w:w="668" w:type="dxa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8" w:type="dxa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36" w:type="dxa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20" w:type="dxa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28" w:type="dxa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6" w:type="dxa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6</w:t>
            </w:r>
          </w:p>
        </w:tc>
      </w:tr>
      <w:tr w:rsidR="00776EC1" w:rsidRPr="00B03D47" w:rsidTr="00D82DDC">
        <w:tc>
          <w:tcPr>
            <w:tcW w:w="668" w:type="dxa"/>
            <w:vAlign w:val="center"/>
          </w:tcPr>
          <w:p w:rsidR="00776EC1" w:rsidRPr="00776EC1" w:rsidRDefault="00776EC1" w:rsidP="00D82DDC">
            <w:pPr>
              <w:pStyle w:val="ConsPlusNormal"/>
              <w:jc w:val="center"/>
              <w:rPr>
                <w:sz w:val="24"/>
                <w:szCs w:val="24"/>
              </w:rPr>
            </w:pPr>
            <w:r w:rsidRPr="00776EC1">
              <w:rPr>
                <w:sz w:val="24"/>
                <w:szCs w:val="24"/>
              </w:rPr>
              <w:t>1</w:t>
            </w:r>
          </w:p>
        </w:tc>
        <w:tc>
          <w:tcPr>
            <w:tcW w:w="4138" w:type="dxa"/>
            <w:vAlign w:val="center"/>
          </w:tcPr>
          <w:p w:rsidR="00776EC1" w:rsidRPr="00776EC1" w:rsidRDefault="00776EC1" w:rsidP="00776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6EC1">
              <w:rPr>
                <w:rFonts w:ascii="Times New Roman" w:hAnsi="Times New Roman" w:cs="Times New Roman"/>
              </w:rPr>
              <w:t>Итого по государственной программе</w:t>
            </w:r>
          </w:p>
        </w:tc>
        <w:tc>
          <w:tcPr>
            <w:tcW w:w="2936" w:type="dxa"/>
            <w:vAlign w:val="center"/>
          </w:tcPr>
          <w:p w:rsidR="00776EC1" w:rsidRPr="00776EC1" w:rsidRDefault="00776EC1" w:rsidP="00D82DDC">
            <w:pPr>
              <w:pStyle w:val="ConsPlusNormal"/>
              <w:jc w:val="center"/>
              <w:rPr>
                <w:sz w:val="24"/>
                <w:szCs w:val="24"/>
              </w:rPr>
            </w:pPr>
            <w:r w:rsidRPr="00776EC1">
              <w:rPr>
                <w:sz w:val="24"/>
                <w:szCs w:val="24"/>
              </w:rPr>
              <w:t>4</w:t>
            </w:r>
          </w:p>
        </w:tc>
        <w:tc>
          <w:tcPr>
            <w:tcW w:w="2920" w:type="dxa"/>
            <w:vAlign w:val="center"/>
          </w:tcPr>
          <w:p w:rsidR="00776EC1" w:rsidRPr="00776EC1" w:rsidRDefault="00776EC1" w:rsidP="00D82DDC">
            <w:pPr>
              <w:pStyle w:val="ConsPlusNormal"/>
              <w:jc w:val="center"/>
              <w:rPr>
                <w:sz w:val="24"/>
                <w:szCs w:val="24"/>
              </w:rPr>
            </w:pPr>
            <w:r w:rsidRPr="00776EC1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  <w:vAlign w:val="center"/>
          </w:tcPr>
          <w:p w:rsidR="00776EC1" w:rsidRPr="00776EC1" w:rsidRDefault="00776EC1" w:rsidP="00D82DD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86" w:type="dxa"/>
            <w:vAlign w:val="center"/>
          </w:tcPr>
          <w:p w:rsidR="00776EC1" w:rsidRPr="00776EC1" w:rsidRDefault="00776EC1" w:rsidP="00D82DD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529F" w:rsidRPr="00B03D47" w:rsidTr="00D82DDC">
        <w:tc>
          <w:tcPr>
            <w:tcW w:w="668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4F529F" w:rsidRPr="00776EC1" w:rsidRDefault="004F529F" w:rsidP="00776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6EC1">
              <w:rPr>
                <w:rFonts w:ascii="Times New Roman" w:hAnsi="Times New Roman" w:cs="Times New Roman"/>
              </w:rPr>
              <w:t>Подпрограмма «Развитие массового спорта в Забайкальском крае»</w:t>
            </w:r>
          </w:p>
        </w:tc>
        <w:tc>
          <w:tcPr>
            <w:tcW w:w="2936" w:type="dxa"/>
          </w:tcPr>
          <w:p w:rsidR="004F529F" w:rsidRPr="00776EC1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 w:rsidRPr="00776EC1">
              <w:rPr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:rsidR="004F529F" w:rsidRPr="00776EC1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 w:rsidRPr="00776EC1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86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529F" w:rsidRPr="00B03D47" w:rsidTr="00D82DDC">
        <w:tc>
          <w:tcPr>
            <w:tcW w:w="668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4F529F" w:rsidRPr="00776EC1" w:rsidRDefault="004F529F" w:rsidP="00776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6EC1">
              <w:rPr>
                <w:rFonts w:ascii="Times New Roman" w:hAnsi="Times New Roman" w:cs="Times New Roman"/>
              </w:rPr>
              <w:t>Подпрограмма «Подготовка спортивного резерва в Забайкальском крае»</w:t>
            </w:r>
          </w:p>
        </w:tc>
        <w:tc>
          <w:tcPr>
            <w:tcW w:w="2936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86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529F" w:rsidRPr="00B03D47" w:rsidTr="00D82DDC">
        <w:tc>
          <w:tcPr>
            <w:tcW w:w="668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4F529F" w:rsidRPr="00776EC1" w:rsidRDefault="004F529F" w:rsidP="00776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6EC1">
              <w:rPr>
                <w:rFonts w:ascii="Times New Roman" w:hAnsi="Times New Roman" w:cs="Times New Roman"/>
              </w:rPr>
              <w:t>Подпрограмма «Обеспечивающая подпрограмма»</w:t>
            </w:r>
          </w:p>
        </w:tc>
        <w:tc>
          <w:tcPr>
            <w:tcW w:w="2936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0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86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529F" w:rsidRPr="00B03D47" w:rsidTr="00D82DDC">
        <w:tc>
          <w:tcPr>
            <w:tcW w:w="668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4F529F" w:rsidRPr="00776EC1" w:rsidRDefault="00776EC1" w:rsidP="00776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  <w:r w:rsidR="004F529F" w:rsidRPr="00776EC1">
              <w:rPr>
                <w:rFonts w:ascii="Times New Roman" w:hAnsi="Times New Roman" w:cs="Times New Roman"/>
              </w:rPr>
              <w:t xml:space="preserve"> «Развитие материально-технической базы отрасли </w:t>
            </w:r>
            <w:r>
              <w:rPr>
                <w:rFonts w:ascii="Times New Roman" w:hAnsi="Times New Roman" w:cs="Times New Roman"/>
              </w:rPr>
              <w:t>«</w:t>
            </w:r>
            <w:r w:rsidR="004F529F" w:rsidRPr="00776EC1">
              <w:rPr>
                <w:rFonts w:ascii="Times New Roman" w:hAnsi="Times New Roman" w:cs="Times New Roman"/>
              </w:rPr>
              <w:t>Физическая культура и спорт»</w:t>
            </w:r>
          </w:p>
        </w:tc>
        <w:tc>
          <w:tcPr>
            <w:tcW w:w="2936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0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86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A14C5" w:rsidRPr="00B03D47" w:rsidRDefault="00BA14C5" w:rsidP="00BA14C5">
      <w:pPr>
        <w:pStyle w:val="ConsPlusNormal"/>
        <w:ind w:firstLine="709"/>
        <w:jc w:val="center"/>
      </w:pPr>
    </w:p>
    <w:p w:rsidR="00BA14C5" w:rsidRPr="00B03D47" w:rsidRDefault="00BA14C5" w:rsidP="00BA14C5">
      <w:pPr>
        <w:pStyle w:val="ConsPlusNormal"/>
        <w:ind w:firstLine="709"/>
        <w:jc w:val="center"/>
      </w:pPr>
      <w:r w:rsidRPr="00B03D47">
        <w:t>_____________</w:t>
      </w:r>
    </w:p>
    <w:p w:rsidR="00BA14C5" w:rsidRPr="00B03D47" w:rsidRDefault="00BA14C5" w:rsidP="00BA14C5">
      <w:pPr>
        <w:pStyle w:val="ConsPlusNormal"/>
        <w:ind w:firstLine="709"/>
        <w:jc w:val="both"/>
      </w:pPr>
    </w:p>
    <w:p w:rsidR="00CF3ADE" w:rsidRDefault="00CF3ADE"/>
    <w:sectPr w:rsidR="00CF3ADE" w:rsidSect="00BA1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42"/>
    <w:rsid w:val="004473EE"/>
    <w:rsid w:val="004F529F"/>
    <w:rsid w:val="006233C5"/>
    <w:rsid w:val="006B55E4"/>
    <w:rsid w:val="00776EC1"/>
    <w:rsid w:val="00857504"/>
    <w:rsid w:val="0099772B"/>
    <w:rsid w:val="00A73242"/>
    <w:rsid w:val="00AC58C0"/>
    <w:rsid w:val="00BA14C5"/>
    <w:rsid w:val="00CF3ADE"/>
    <w:rsid w:val="00EA6352"/>
    <w:rsid w:val="00F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FA80"/>
  <w15:chartTrackingRefBased/>
  <w15:docId w15:val="{D98207FA-63A9-4FBD-8CA4-7407063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52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14C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A14C5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BA14C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2020-01-22T04:42:00Z</dcterms:created>
  <dcterms:modified xsi:type="dcterms:W3CDTF">2020-01-22T08:39:00Z</dcterms:modified>
</cp:coreProperties>
</file>