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142" w:right="-143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</w:r>
      <w:r>
        <w:rPr>
          <w:rFonts w:eastAsia="Calibri"/>
          <w:b/>
          <w:sz w:val="32"/>
          <w:szCs w:val="32"/>
        </w:rPr>
      </w:r>
    </w:p>
    <w:p>
      <w:pPr>
        <w:jc w:val="center"/>
        <w:tabs>
          <w:tab w:val="left" w:pos="1800" w:leader="none"/>
        </w:tabs>
        <w:rPr>
          <w:b/>
          <w:bCs/>
          <w:sz w:val="32"/>
          <w:szCs w:val="32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542925"/>
                <wp:effectExtent l="0" t="0" r="0" b="0"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47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5pt;height:42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sz w:val="32"/>
          <w:szCs w:val="32"/>
        </w:rPr>
      </w:r>
    </w:p>
    <w:p>
      <w:pPr>
        <w:ind w:left="-142" w:right="-143"/>
        <w:jc w:val="center"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ind w:left="-142" w:right="-143"/>
        <w:jc w:val="center"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outlineLvl w:val="0"/>
      </w:pPr>
      <w:r>
        <w:rPr>
          <w:b/>
          <w:bCs/>
          <w:sz w:val="32"/>
          <w:szCs w:val="32"/>
        </w:rPr>
        <w:t xml:space="preserve">Министерство физической культуры и спорта</w:t>
      </w:r>
      <w:r>
        <w:rPr>
          <w:b/>
          <w:bCs/>
          <w:sz w:val="32"/>
          <w:szCs w:val="32"/>
        </w:rPr>
      </w:r>
    </w:p>
    <w:p>
      <w:pPr>
        <w:ind w:left="-142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Забайкальского края</w:t>
      </w:r>
      <w:r>
        <w:rPr>
          <w:b/>
          <w:bCs/>
          <w:sz w:val="32"/>
          <w:szCs w:val="32"/>
        </w:rPr>
      </w:r>
    </w:p>
    <w:p>
      <w:pPr>
        <w:ind w:left="-142" w:righ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8 июля 2025 года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</w:t>
      </w:r>
      <w:r>
        <w:rPr>
          <w:b/>
          <w:bCs/>
          <w:sz w:val="28"/>
          <w:u w:val="single"/>
        </w:rPr>
        <w:t xml:space="preserve">№ 7-нпа</w:t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г. Чита</w:t>
      </w:r>
      <w:r>
        <w:rPr>
          <w:b/>
          <w:bCs/>
          <w:sz w:val="32"/>
          <w:szCs w:val="32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contextualSpacing/>
        <w:jc w:val="center"/>
        <w:shd w:val="clear" w:color="auto" w:fill="ffffff"/>
        <w:rPr>
          <w:iCs/>
          <w:sz w:val="20"/>
          <w:szCs w:val="20"/>
        </w:rPr>
        <w:outlineLvl w:val="0"/>
      </w:pPr>
      <w:r>
        <w:rPr>
          <w:b/>
          <w:bCs/>
          <w:spacing w:val="2"/>
          <w:sz w:val="28"/>
          <w:szCs w:val="28"/>
          <w:lang w:eastAsia="en-US"/>
        </w:rPr>
        <w:t xml:space="preserve">Об утверждении Примерного положения об оплате труда работников государственных учреждений, подведомственных Министерству физической культуры и спорта Забайкальского края </w:t>
      </w:r>
      <w:r>
        <w:rPr>
          <w:iCs/>
          <w:sz w:val="20"/>
          <w:szCs w:val="20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61"/>
      </w:tblGrid>
      <w:tr>
        <w:tblPrEx/>
        <w:trPr/>
        <w:tc>
          <w:tcPr>
            <w:tcW w:w="9461" w:type="dxa"/>
            <w:textDirection w:val="lrTb"/>
            <w:noWrap w:val="false"/>
          </w:tcPr>
          <w:p>
            <w:pPr>
              <w:ind w:firstLine="7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Законом Забайкальского края от 9 апреля 2014 года № 964-ЗЗК «Об оплате труда работников государственных учреждений Забайкальск</w:t>
            </w:r>
            <w:r>
              <w:rPr>
                <w:sz w:val="28"/>
                <w:szCs w:val="28"/>
                <w:lang w:eastAsia="en-US"/>
              </w:rPr>
              <w:t xml:space="preserve">ого края», постановлением Правительства Забайкальского края от 26 сентября 2024 года № 488 «Об оплате труда работников государственных учреждений Забайкальского края», на основании Положения о Министерстве физической культуры и спорта Забайкальского края, 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743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приказываю:</w:t>
      </w:r>
      <w:r>
        <w:rPr>
          <w:b/>
          <w:bCs/>
          <w:spacing w:val="40"/>
          <w:sz w:val="32"/>
          <w:szCs w:val="32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contextualSpacing/>
        <w:ind w:firstLine="709"/>
        <w:jc w:val="both"/>
        <w:shd w:val="clear" w:color="auto" w:fill="ffffff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  <w:t xml:space="preserve">1. Утвердить Примерное положение об оплате труда работников государственных учреждений, подведомственных Министерству физической культуры и спорта Забайкальского края.</w:t>
      </w:r>
      <w:r>
        <w:rPr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2. Установить рекомендуемые размеры окладов (должностных окладов) работников государственных учреждений, подведомственных Министерству физической культуры и спорта Забайкальского края, согласно приложению, к настоящему приказу.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3. Директорам государственных учреждений привести в соответствие локальные нормативные акты, регулирующие вопросы оплаты труда в соответствии с настоящим Примерным положением в месячный срок.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4. Настоящий приказ распространяется на правоотношения, возникшие с 1 июня 2025 года.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5. Признать утратившими силу следующие приказы Министерства физической культуры и спорта Забайкальского края: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1) от 28</w:t>
      </w:r>
      <w:r>
        <w:rPr>
          <w:bCs/>
          <w:sz w:val="28"/>
          <w:szCs w:val="28"/>
          <w:lang w:eastAsia="en-US"/>
        </w:rPr>
        <w:t xml:space="preserve"> августа 2023 года № 9-нпа «Об утверждении Примерного положения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края»;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2) от 30 июля</w:t>
      </w:r>
      <w:r>
        <w:rPr>
          <w:bCs/>
          <w:sz w:val="28"/>
          <w:szCs w:val="28"/>
          <w:lang w:eastAsia="en-US"/>
        </w:rPr>
        <w:t xml:space="preserve"> 2024 года № 9-нпа «О внесении изменений в Примерное положение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края». 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bCs/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  <w:t xml:space="preserve">6. Контроль за исполнением настоящего приказа возложить на заместителя министра физической культуры и спорта Забайкальского края Е.В. Казанова.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sz w:val="28"/>
          <w:szCs w:val="28"/>
          <w:lang w:eastAsia="en-US"/>
        </w:rPr>
        <w:outlineLvl w:val="0"/>
      </w:pPr>
      <w:r>
        <w:rPr>
          <w:bCs/>
          <w:sz w:val="28"/>
          <w:szCs w:val="28"/>
          <w:lang w:eastAsia="en-US"/>
        </w:rPr>
        <w:t xml:space="preserve">7.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>
        <w:rPr>
          <w:sz w:val="28"/>
          <w:szCs w:val="28"/>
          <w:lang w:eastAsia="en-US"/>
        </w:rPr>
        <w:t xml:space="preserve">(</w:t>
      </w:r>
      <w:r>
        <w:rPr>
          <w:sz w:val="28"/>
          <w:szCs w:val="28"/>
          <w:lang w:eastAsia="en-US"/>
        </w:rPr>
        <w:t xml:space="preserve">http</w:t>
      </w:r>
      <w:r>
        <w:rPr>
          <w:sz w:val="28"/>
          <w:szCs w:val="28"/>
          <w:lang w:eastAsia="en-US"/>
        </w:rPr>
        <w:t xml:space="preserve">//</w:t>
      </w:r>
      <w:r>
        <w:rPr>
          <w:sz w:val="28"/>
          <w:szCs w:val="28"/>
          <w:lang w:eastAsia="en-US"/>
        </w:rPr>
        <w:t xml:space="preserve">право.забайкальскийкрай</w:t>
      </w:r>
      <w:r>
        <w:rPr>
          <w:sz w:val="28"/>
          <w:szCs w:val="28"/>
          <w:lang w:eastAsia="en-US"/>
        </w:rPr>
        <w:t xml:space="preserve">.рф</w:t>
      </w:r>
      <w:r>
        <w:rPr>
          <w:sz w:val="28"/>
          <w:szCs w:val="28"/>
          <w:lang w:eastAsia="en-US"/>
        </w:rPr>
        <w:t xml:space="preserve">).</w:t>
      </w:r>
      <w:r>
        <w:rPr>
          <w:sz w:val="28"/>
          <w:szCs w:val="28"/>
          <w:lang w:eastAsia="en-US"/>
        </w:rPr>
      </w:r>
    </w:p>
    <w:p>
      <w:pPr>
        <w:contextualSpacing/>
        <w:ind w:firstLine="709"/>
        <w:jc w:val="both"/>
        <w:shd w:val="clear" w:color="auto" w:fill="ffffff"/>
        <w:rPr>
          <w:iCs/>
          <w:sz w:val="20"/>
          <w:szCs w:val="20"/>
        </w:rPr>
        <w:outlineLvl w:val="0"/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contextualSpacing/>
        <w:ind w:firstLine="709"/>
        <w:jc w:val="both"/>
        <w:shd w:val="clear" w:color="auto" w:fill="ffffff"/>
        <w:rPr>
          <w:iCs/>
          <w:sz w:val="20"/>
          <w:szCs w:val="20"/>
        </w:rPr>
        <w:outlineLvl w:val="0"/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contextualSpacing/>
        <w:ind w:firstLine="709"/>
        <w:jc w:val="both"/>
        <w:shd w:val="clear" w:color="auto" w:fill="ffffff"/>
        <w:rPr>
          <w:iCs/>
          <w:sz w:val="20"/>
          <w:szCs w:val="20"/>
        </w:rPr>
        <w:outlineLvl w:val="0"/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        </w:t>
      </w:r>
      <w:r>
        <w:rPr>
          <w:sz w:val="28"/>
        </w:rPr>
        <w:t xml:space="preserve">А.К.Серёдкин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физической культуры и спорта Забайкальского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«08» июля 2025 г. № 7-нпа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</w:r>
    </w:p>
    <w:p>
      <w:pPr>
        <w:pStyle w:val="984"/>
        <w:ind w:left="5640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ПРИМЕРНОЕ ПОЛОЖЕНИЕ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оплате труда работников государственных учреждении, подведомственных Министерству физической культуры и спорта Забайкальского края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986"/>
          <w:rFonts w:ascii="Times New Roman" w:hAnsi="Times New Roman"/>
          <w:color w:val="000000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Примерное положение об оплате труда работников государственных учреждений, подведомств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Министерству физической культуры и спорта Забайкальского края, (далее – соответственно Положение, Учреждение, Министерство), определяет условия и порядок оплаты труда и служит основанием для разработки положений об оплате труда работников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включает в себя: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рекомендуемые размеры окладов (должностных окладов) по профессиональным квалификационным группам (далее – ПКГ);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перечень, размер, порядок и условия применения компенсационных и стимулирующих выплат;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другие вопросы оплаты труда.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Положение разработано в соответствии с Трудовым кодексом Российской Федерации, Закона Забайкальского края от 9 апре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2014 года № 964-ЗЗК «Об оплате труда работников государственных учреждений Забайкальского края», постановлением Правительства Забайкальского края от 26 сентября 2024 года № 488 «Об оплате труда работников государственных учреждений Забайкальского края».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лата труда работников Учреждений включает в себя оклады (должностные оклады), компенсационные и стимулирующие выплаты и устанавливается локальными нормативными актами Учреждения в соответствии с нормами действующего законодательства и настоящим Положением.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работников, занятых по совместительству, а также работающих на условиях неполного рабочего времени, произво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по совместительству, производиться раздельно по каждой из должностей.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полнения работ, связанных со временным расширением объема оказываемых Учреждением услуг, Учреждение может привлекать помимо работников, занимающих должности (профессии), предусмотренные штатным расписанием, других работников на условиях срочного трудового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договора за счет средств, поступающих от предпринимательской и иной приносящей доход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настоящем Положения используются следующие основные понятия: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базовый оклад (базовый должностной оклад), базовая ставка заработной платы</w:t>
      </w:r>
      <w:r>
        <w:rPr>
          <w:color w:val="000000"/>
          <w:sz w:val="28"/>
          <w:szCs w:val="28"/>
        </w:rPr>
        <w:t xml:space="preserve"> – минимальные оклад (должностной оклад), ставка заработной платы работника государственного учреждени</w:t>
      </w:r>
      <w:r>
        <w:rPr>
          <w:color w:val="000000"/>
          <w:sz w:val="28"/>
          <w:szCs w:val="28"/>
        </w:rPr>
        <w:t xml:space="preserve">я или муниципального учреждения, осуществляющего профессиональную деятельность по профессии рабочего или должности служащего, входящих в соответствующую профессиональную квалификационную группу, без учета компенсационных, стимулирующих и социальных выплат;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компенсационные выплаты</w:t>
      </w:r>
      <w:r>
        <w:rPr>
          <w:color w:val="000000"/>
          <w:sz w:val="28"/>
          <w:szCs w:val="28"/>
        </w:rPr>
        <w:t xml:space="preserve"> - выплаты, обеспечивающие оплату труда в повышенном </w:t>
      </w:r>
      <w:r>
        <w:rPr>
          <w:color w:val="000000"/>
          <w:sz w:val="28"/>
          <w:szCs w:val="28"/>
        </w:rPr>
        <w:t xml:space="preserve">размере работникам учреждения, занятым на тяжелых работах, работах с вредными и (или) опасным,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оклад (должностной оклад)</w:t>
      </w:r>
      <w:r>
        <w:rPr>
          <w:color w:val="000000"/>
          <w:sz w:val="28"/>
          <w:szCs w:val="28"/>
        </w:rPr>
        <w:t xml:space="preserve">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стимулирующие выплаты</w:t>
      </w:r>
      <w:r>
        <w:rPr>
          <w:color w:val="000000"/>
          <w:sz w:val="28"/>
          <w:szCs w:val="28"/>
        </w:rPr>
        <w:t xml:space="preserve"> – выплаты, предусматриваемые с целью повышения мотивации работников учреждения к качественному результату, а также поощрения за выполненную работу;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тарифная ставка</w:t>
      </w:r>
      <w:r>
        <w:rPr>
          <w:color w:val="000000"/>
          <w:sz w:val="28"/>
          <w:szCs w:val="28"/>
        </w:rPr>
        <w:t xml:space="preserve"> - фиксированный размер оплаты труда работника за выполнение нормы труда определённой сложности (квалификации) за единицу времени без учета компенсационных, стимулирующих и социальных выплат;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тарификационный список</w:t>
      </w:r>
      <w:r>
        <w:rPr>
          <w:color w:val="000000"/>
          <w:sz w:val="28"/>
          <w:szCs w:val="28"/>
        </w:rPr>
        <w:t xml:space="preserve"> - сведения об учителях, преподавателях и других работниках, осуществляющих педагогическую деятельность, количестве часов по г</w:t>
      </w:r>
      <w:r>
        <w:rPr>
          <w:color w:val="000000"/>
          <w:sz w:val="28"/>
          <w:szCs w:val="28"/>
        </w:rPr>
        <w:t xml:space="preserve">осударственному образовательному стандарту, учебному плану и программам, обеспеченности кадрами и других конкретных условиях в образовательных учреждениях, сформированные с целью определения объема учебной нагрузки педагогических работников на учебный год;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эффективный контракт</w:t>
      </w:r>
      <w:r>
        <w:rPr>
          <w:color w:val="000000"/>
          <w:sz w:val="28"/>
          <w:szCs w:val="28"/>
        </w:rPr>
        <w:t xml:space="preserve"> - трудовой договор с работником, в котором конкретизированы его должностные обязанност</w:t>
      </w:r>
      <w:r>
        <w:rPr>
          <w:color w:val="000000"/>
          <w:sz w:val="28"/>
          <w:szCs w:val="28"/>
        </w:rPr>
        <w:t xml:space="preserve">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 (работ), а также меры социальной поддержки.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Положение определяет порядок формирования фонда оплаты труда работников Учреждений за счет средств краевого бюджета и других источников, не запр</w:t>
      </w:r>
      <w:r>
        <w:rPr>
          <w:color w:val="000000"/>
          <w:sz w:val="28"/>
          <w:szCs w:val="28"/>
        </w:rPr>
        <w:t xml:space="preserve">ещенных законодательством Российской Федерации, установления размеров окладов (должностных окладов), ставок заработной платы по ПКГ и квалификационным уровням с учетом профессиональных стандартов, а также выплат компенсационного и стимулирующего характера.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С </w:t>
      </w:r>
      <w:r>
        <w:rPr>
          <w:color w:val="000000"/>
          <w:sz w:val="28"/>
          <w:szCs w:val="28"/>
        </w:rPr>
        <w:t xml:space="preserve">работниками Учреждений должны быть заключены трудовые договоры (с учетом рекомендаций по оформлению трудовых отношений при введении «эффективного контракта», утвержденных Министерством труда и социальной защиты Российской Федерации), в которых должны быть </w:t>
      </w:r>
      <w:r>
        <w:rPr>
          <w:color w:val="000000"/>
          <w:sz w:val="28"/>
          <w:szCs w:val="28"/>
        </w:rPr>
        <w:t xml:space="preserve">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услуг.</w:t>
      </w:r>
      <w:r>
        <w:rPr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получения вознаграждения должны быть понятны работодателю и работнику и не допускать двойного толкования.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Об изменениях условий труда работников Учреждений работодатель уведомляет работников в соответствии с трудовым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1.10. Положение об оплате труда работников Учреждения разрабатывается и утверждается в соответствии с федеральными законами и иными нормативными правовыми актами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едерации, законами и иными нормативными правовыми актами Забайкальского края, устанавливающими систему оплаты труда работников бюджетной сферы Забайкальского края, Едиными рекомендациями по установлению на федеральном, региональном и местном уровнях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 работников государственных и муниципальных учреждений, утвержденными решением Российской трехсторонней комиссией по регулированию социально-трудовых отношений, настоящим Положением, а также с учетом мнения представительного органа работников.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оплате труда работников Учреждения, положение о выплатах стимулирующего характера в Учреждении должны быть согласованы с Министерством.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условия оплаты труда работников Учреждений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ind w:left="1080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оплаты труда работников Учреждений включает в себя размеры окладов (должностных окладов), ставок заработной платы, компенсационные и стимулирующие выплаты, устанавливаются коллективными договорами, соглашениями, локальными нормативными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ктами в соответствии с федеральными законами, законами Забайкальского края и иными нормативными правовыми актами Российской Федерации и Забайкальского края, трудовым договором, основанным на принципах «эффективного контракта», а также настоящим Положением.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Система оплаты труда работников Учреждений устанавливается с учетом: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единого тарифно-квалификационного справочника работ и профессий рабочих (далее – ЕТКС), единого квалификационного справочника должностей руководителей, специалистов и служащих (далее – ЕКС), и профессиональных стандартов;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государственных гарантий по оплате труда;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перечня видов выплат компенсационного 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перечня видов выплат стимулирующего 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д) единых рекомендаций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текущий год, утвержденных решением Российской трехсторонней комиссии по регулированию социально-трудовых отношений.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2.1.1. Заработная плата работников Учреждения состоит из оклада (должностного оклада), выплат компенсационного и стимулирующего характера.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2.1.2. Рекомендуемые размеры минимальных окладов (должностных окладов) работников учреждений с учетом требований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подготовке и уровню квалификации, которые необходимы для осуществления соответствующей профессиональной деятельности, установлены в приложении № 1 к настоящему Положению на основе отнесения занимаемых ими должностей к соответствующим ПКГ.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2.1.3. Отнесение работников к профессиональным квалификационным группам осуществляется в соответствии с требованиями ЕКС, ЕТКС, а также критериями отнесени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профессий рабочих и должностей служащих к профессиональным квалификационным группам,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Наименования должностей (профессий) работников и их квалификация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в соответствии со штатным расписанием, утвержденным руководителем Учреждения, и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ЕКС и ЕТКС.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целью контроля за объемами принятых Учреждениями бюджетных обязательств по заработной плате штатные расписания Учреждений согласовываются с Министерством.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2.1.4. Штатное расписание Учреждения формируется в пределах фонда оплаты труда и включает в себя все должности руководителей, специалистов, служащих, профессии рабочих Учреждения, доплаты и надбавки, включая доплаты до минимального размера оплаты труда.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2.1.5. Заработная плата работника предельными размерами не ограничивается.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2.1.6. Фонд оплаты труда работников Учреждений формируется исходя из объема субсидий, поступающих в установленном порядке Учреждениями из бюджета Забайкальского края, и средств, поступающих от приносящей доход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Административно-управленческий персонал учреждения – работники учреждения, занятые управлением (организацией) оказания услуг (выполнения работ), а также работники учреждения, выполняющие </w:t>
      </w:r>
      <w:r>
        <w:rPr>
          <w:color w:val="000000"/>
          <w:sz w:val="28"/>
          <w:szCs w:val="28"/>
        </w:rPr>
        <w:t xml:space="preserve">административные функции, необходимые для обеспечения деятельности учреждения.</w:t>
      </w:r>
      <w:r>
        <w:rPr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Вспомогательный персонал - работники учреждения обеспечивающий непрерывный процесс, связанный с эксплуатационным, инженерным, хозяйственным и другими процессами работы учреждения на объектах учреждения административно-хозяйственного и спортивного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2.1.7. Часть средств на оплату труда, формируемых за счет бюджетных ассигнований бюджета Забайкальского края, направляется Учреждениями на выплаты стимулирующего характера, в частности на обеспечение системы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емирования. Система премирования работников устанавливается локальными нормативными актами Учреждений согласовываются с Министерством в пределах утвержденного фонда оплаты труда с учетом показателей эффективности и результативности деятельности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2.1.8. Должностные оклады профессий рабочих и работников, осуществляющих профессиональную деятельность, по общеотраслевым должностям специалистов и служащих, входящим в соответствующие профессиональные квалификационные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устанавливаются в соответствии с присвоенными квалификационными разрядами и настоящим Положением в размерах, не ниже утвержденных Правительством Забайкальского края базовых окладов (базовых должностных окладов), базовых ставок заработной платы.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2.1.9. Размер оклада (должностного оклада), ставки заработной платы, установленный работнику за исполнение трудовых (должностных) обязанностей определенной сложности (квалификации) за календарный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месяц либо за установленную норму труда (норму часов педагогической (преподавательской) работы в неделю (в год, в месяц) за ставку заработной платы), предусматривается в трудовом договоре с работником (или в дополнительном соглашении к трудовому договору).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2.1.10. Размеры окладов (должностных окладов), ставок заработной платы работников учреждений края индексируются в связи с ростом потребительских цен на товары и услуги с учетом уровня инфляции.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оплате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учреждения может быть предусмотрено установление надбавок к окладам (должностным окладам), ставкам работников, персональных надбавок конкретному работнику, персональных повышающих коэффициентов, премий и других мер материального стимулирования.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Месячная заработная плата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учреждениях новой системы оплаты труда не может рассматриваться как основание для отказа от предоставления льгот и гарантий, установленных трудовым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Базовая ставка заработной платы по профессиональным квалификационным группам работников учреждения определяется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деления базового оклада (должностного оклада) на среднемесячную норму рабочего времени по производственному календарю на соответствующий календарный год.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В случае если месячная заработная плата работников учреждения по 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учреждений производится доплата до уровня минимального размера оплаты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месячной заработной платы данного работника по основной работе за соответствующий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времени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доплата производится в пределах утвержденного фонда оплаты труда работников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Заработная плата работников учреждения (без учета премий и без учета стимулирующих выплат) не может быть меньше заработной платы (без учета премий и без учета стимулирующих выплат), выплачи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ваемой в соответствии с ранее применяемой системой оплаты труда, при условии сохранения объема должностных обязанностей работников и выполнения ими работ той же квалификации и в случае отсутствия изменений, касающихся специфики функционирования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Экономия фонда заработной платы, образовавшаяся в ходе исполнения плана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ансово-хозяйственной деятельности учреждения, направляется на стимулирующие выплаты, премирование работников учреждения, оказание отдельных видов единовременной материальной помощи в соответствии с коллективными договорами и локальными нормативными актами.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Style w:val="986"/>
          <w:rFonts w:ascii="Times New Roman" w:hAnsi="Times New Roman"/>
          <w:color w:val="000000"/>
          <w:sz w:val="28"/>
          <w:szCs w:val="28"/>
        </w:rPr>
      </w:pPr>
      <w:r>
        <w:rPr>
          <w:rStyle w:val="986"/>
          <w:rFonts w:ascii="Times New Roman" w:hAnsi="Times New Roman"/>
          <w:color w:val="000000"/>
          <w:sz w:val="28"/>
          <w:szCs w:val="28"/>
        </w:rPr>
        <w:t xml:space="preserve">Порядок и условия установления выплат компенсационного характера</w:t>
      </w:r>
      <w:r>
        <w:rPr>
          <w:rStyle w:val="986"/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Style w:val="98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Style w:val="986"/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учреждения устанавливаются следующие виды выплат компенсационного характера: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выплаты работникам, занятым на работах с вредными и (или) опасными условиями труда;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2) выплаты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местностям);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9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выплаты за работу в условиях, отклоняющихся от нормальных (при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иные выплаты компенсационного характера, устанавливаемые в соответствии с трудовым законодательством и иными нормативными правовыми актами, содержащими нормы трудового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компенсационного характера устанавливаются к должностным окладам (ставкам) работников учреждений по соответствующим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ональным квалификационным группам в процентах к должностным окладам (ставкам), если иное не установлено федеральными законами и иными нормативными правовыми актами Российской Федерации, и законами, и иными нормативными правовыми актами Забайкальского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компенсационного характера работникам учреждения, занятым на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момент введения изменений системы оплаты труда указанная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ыплата устанавливается всем работникам, получавшим ее ранее. При этом работодатель принимает меры по организации и финансированию проведения специальной оценки условий труда с целью разработки и реализации программы действий по обеспечению безопасных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и охраны труда. Если по результатам проведения специальной оценки условий труда рабочее место признается безопасным, то указанная выплата прекращается с уведомлением работника о прекращении указанной выплаты в письменном виде не менее чем за два месяца.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компенсационного характера работникам учреждения, занят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на работах с вредными и (или) опасными условиями труда, устанавливаются в размере не менее 4 процентов оклада (должностного оклада), установленного для различных видов работ с нормальными условиями труда, по результатам специальной оценки условий труда.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Доплата компенсационного характера за работу в ночное время (с 22 часов до 6 часов) работникам учреждений, работающим в сменном режиме, производятся в размере 40 процентов оклада (должностного оклада), ставки заработной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платы за каждый час работы. Доплата компенсационного характера за работу в ночное время (с 22 часов до 6 часов) работникам сторожевой охраны учреждений производится в размере 35 процентов оклада (должностного оклада), ставки заработной платы за час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доплаты производятся за фактически отработанное время в составе заработной платы за месяц, в котором выполнялись соответствующие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Доплата компенсационного характера за работу в ночное время начисляется исходя из оклада (должностного оклада), ставки заработной платы без учета других доплат и надбавок и выплачивается в составе заработной платы.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компенсационного характера работникам учреждений за совмещение профессий (должностей), расширение зон обслуживания, увеличение объема работы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 осуществляются в порядке, установленном Трудовым </w:t>
      </w:r>
      <w:hyperlink r:id="rId15" w:tooltip="consultantplus://offline/ref=6034F14E842E635CB40E9FB27563258BA144870D38C19E6D1FB30DBF72UFw4H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num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выплаты компенсационного характера за совмещение профессий (должностей), расширение зон обслуживания, увели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оклада (должностного оклада) (за час работы) при расчете доплаты за работу в ночное время, свер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хурочную работу и работу в выходные и нерабочие праздничные дни определяется путем деления размера оклада (должностного оклада) на среднемесячную норму рабочего времени в соответствующем году в зависимости от установленной продолжительности рабочей недели.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Оклады (должностные оклады), ставки заработной платы работников учреждений, занятых на рабочих местах, находящихся в сельской местности, повышаются на 25 процентов.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работной плате, материальной помощи, единовременной выплате к отпуску работников учреждения применяются районный коэффициент и процентная надбавка в порядке и размерах, определенных нормативными правовыми актами Российской Федерации и Забайкальского края.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Порядок и условия установления выплат стимулирующего характера работникам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трудовыми договорами согласно показателям и критериям оценки эффективности труда работников 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приказом Министерства труда и социальной защиты Российской Федерации от 26.04.2013 г.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учреждениях устанавливаются следующие виды выплат стимулирующего характера: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21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выплаты за интенсивность и высокие результаты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Выплаты спортсмену за спортивный результат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Забайкальского края от 18 ноября 2014 года № 636.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Выплата устанавливается с первого числа месяца, следующего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месяцем, в котором спортсмен показал наивысший результат, на основании выписки из протоколов соревнований и сохраняется до проведения следующих официальных международных соревнований данного уровня. По всем остальным соревнованиям – в течение одного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в период действия установленной выплаты спортсмен улучшил спортивный результат, размер выплаты соответственно увеличивается и устанавливается новое исчисление срока его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заключении трудового договора спортсмену усаливается выплата за спортивный результат на основании протокола (выписки из протокола) соревнований, проходивших не позднее года до даты заключения трудового договора.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21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Надбавка за выслугу лет.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Выплата за выслугу лет осуществляется согласно приложению № 2 к настоящему Положению.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стаж работы, дающий право на установление ежемесячной надбавки к должностному окладу за выслугу лет, включается период работы в учреждениях и (или) пери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оды работы по аналогичной специальности (профессии) с учетом профессиональных знаний и навыков, необходимых для исполнения должностных обязанностей (работ) в других организациях, учреждениях, органах исполнительной власти и органах местного самоуправления.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21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Надбавка за почетные звания, спортивные звания и ученую степень.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Выплата за почетные звания и ученую степень устанавливаются согласно приложению № 3 к настоящему Положению.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Специалистам, перешедшим из отрасли «Образования» в отрасль «Физическая культура и спорт» сохраняются выплаты за ведомственные звания и награды.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наличии двух и более почетных званий и (или) ученых степеней выплаты производятся по почетному званию, имеющему более высокую степень и (или) более высокую ученую степень, при этом выплаты производятся либо за почетное звание, либо за ученую степень.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21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Надбавка за квалификацию.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Работникам физической культуры и спорта, педагогическим работникам, медицинским работникам и иным специалистам в области физической культуры и спорта устанавливается надбавка за квалификацию согласно приложению № 4 к настоящему Положению.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Выплаты устанавливаются по соответствующим профессиональным квалификационным категориям.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имеющим в соответствии с законодательством право использования в своих наименованиях слово «олимпийский» или образованных на их основе слова и словосочетания, устанавливается стимулирующая выплата в размере 15 процентов от оклада (должностного) оклада.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ind w:firstLine="708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Надбавка за классность водителям устанавливается в следующих размерах: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851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num" w:pos="108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 класс – 10 процентов;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ind w:firstLine="851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num" w:pos="108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1 класс – 25 процентов.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ind w:firstLine="851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num" w:pos="108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Надбавка водителям за классность начисляется ежемесячно исходя из должностного оклада, ставки заработной платы без учета других доплат и надбавок и выплачивается в составе заработной платы.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ind w:firstLine="851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num" w:pos="108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Надбавка водителям за классность выплачивается с момента возникновения права на её назначение.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7) Надбавка за работу с лицами, признанными в установленном порядке инвалидами, лицами с ограниченными возможностями здоровья.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за работу с лицами, признанными в установленном порядке инвалидами, лицами с ограниченными возможностями здоровья к окладу (должностному окладу) устанавливаются локальными нормативными актами учреждений в размере 20 процентов.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устанавливается в пределах утвержденного фонда оплаты труда.</w:t>
      </w:r>
      <w:r>
        <w:rPr>
          <w:color w:val="000000"/>
          <w:sz w:val="28"/>
          <w:szCs w:val="28"/>
        </w:rPr>
      </w:r>
    </w:p>
    <w:p>
      <w:pPr>
        <w:pStyle w:val="984"/>
        <w:numPr>
          <w:ilvl w:val="0"/>
          <w:numId w:val="22"/>
        </w:numPr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Надбавка за качество выполненных работ.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за качество выполненных работ устанавливается работникам в соответствии с показателями и критериями, разработанны</w:t>
      </w:r>
      <w:r>
        <w:rPr>
          <w:color w:val="000000"/>
          <w:sz w:val="28"/>
          <w:szCs w:val="28"/>
        </w:rPr>
        <w:t xml:space="preserve">ми локальными нормативными актами учреждений с указанием размеров выплат, в пределах утвержденного годового фонда оплаты труда и с учетом особенностей деятельности учреждения в соответствии с достигнутыми показателями эффективности деятельности учреждения: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тренерскому составу в соответствии с рекомендуемыми критериями оценки работы, указанными в </w:t>
      </w:r>
      <w:r>
        <w:rPr>
          <w:color w:val="000000"/>
          <w:sz w:val="28"/>
          <w:szCs w:val="28"/>
        </w:rPr>
        <w:t xml:space="preserve">приложении 5 к</w:t>
      </w:r>
      <w:r>
        <w:rPr>
          <w:color w:val="000000"/>
          <w:sz w:val="28"/>
          <w:szCs w:val="28"/>
        </w:rPr>
        <w:t xml:space="preserve"> настоящему Примерному положению;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иным работникам учреждений, непосредственно незадействованным в организации, реализации или контроле за реализацией программ спортив</w:t>
      </w:r>
      <w:r>
        <w:rPr>
          <w:color w:val="000000"/>
          <w:sz w:val="28"/>
          <w:szCs w:val="28"/>
        </w:rPr>
        <w:t xml:space="preserve">ной подготовки, но обеспечивающих непрерывный процесс деятельности учреждений, устанавливаются в размерах и на условиях, утвержденных локальными актами учреждений с рекомендуемыми критериями оценки работы, указанными в приложении 6 к настоящему Положению. 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размер выплат стимулирующего характера надбавка за качество выполняемых работ составляет 50 процентов от размера оклада (должностного оклада).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назначении надбавки за качество приминает соответствующая комиссия с участием представительного органа работников.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молодым специалистам.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молодым специалистам устанавливается: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работникам являющимися лицами в возрасте до 35 лет включительно, впервые заключившим трудовой договор с учреждением в течение пяти лет после завершения обучения по основны</w:t>
      </w:r>
      <w:r>
        <w:rPr>
          <w:color w:val="000000"/>
          <w:sz w:val="28"/>
          <w:szCs w:val="28"/>
        </w:rPr>
        <w:t xml:space="preserve">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</w:t>
      </w:r>
      <w:r>
        <w:rPr>
          <w:color w:val="000000"/>
          <w:sz w:val="28"/>
          <w:szCs w:val="28"/>
        </w:rPr>
        <w:t xml:space="preserve">обучения, устанавливается надбавка в размере 20 процентов оклада (должностного оклада), ставки заработной платы. 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устанавливается молодым специалистам на срок до трех лет с момента заключения с учреждением трудового договора.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трудоустройстве (в том числе в порядке перевода) молодого специалиста в течение трех лет после заключения с учреждением трудового договора, в другое учреждение ранее установленная надбавка сохраняется.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работникам относящимся к категориям работников, определенным в статье 1 Закона З</w:t>
      </w:r>
      <w:r>
        <w:rPr>
          <w:color w:val="000000"/>
          <w:sz w:val="28"/>
          <w:szCs w:val="28"/>
        </w:rPr>
        <w:t xml:space="preserve">абайкальского края от 8 июля 2024 года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</w:t>
      </w:r>
      <w:r>
        <w:rPr>
          <w:color w:val="000000"/>
          <w:sz w:val="28"/>
          <w:szCs w:val="28"/>
        </w:rPr>
        <w:t xml:space="preserve">й Забайкальского края» молодым специалистам в возрасте до 35 лет включительно, завершивших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</w:t>
      </w:r>
      <w:r>
        <w:rPr>
          <w:color w:val="000000"/>
          <w:sz w:val="28"/>
          <w:szCs w:val="28"/>
        </w:rPr>
        <w:t xml:space="preserve">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</w:t>
      </w:r>
      <w:r>
        <w:rPr>
          <w:color w:val="000000"/>
          <w:sz w:val="28"/>
          <w:szCs w:val="28"/>
        </w:rPr>
        <w:t xml:space="preserve">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молодому специалисту устанавливается на срок пять лет с даты заключения с государственным учреждением трудового договора, но не более чем до достижения им возраста 35 лет включительно.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дату н</w:t>
      </w:r>
      <w:r>
        <w:rPr>
          <w:color w:val="000000"/>
          <w:sz w:val="28"/>
          <w:szCs w:val="28"/>
        </w:rPr>
        <w:t xml:space="preserve">азначения надбавки молодому специалисту ему была ранее установлена надбавка в соответствии с иными нормативными правовыми актами Забайкальского края, то ранее установленная надбавка молодому специалисту сохраняется на прежних условия назначения и выплаты.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0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Надбавка работникам, занятым на рабочих местах, находящихся в малых населенных пунктах Забайкальского края.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2 Закона Забайкальского края «О повышении заработной платы работников государственных и муниципальных учр</w:t>
      </w:r>
      <w:r>
        <w:rPr>
          <w:color w:val="000000"/>
          <w:sz w:val="28"/>
          <w:szCs w:val="28"/>
        </w:rPr>
        <w:t xml:space="preserve">еждений Забайкальского края и внесение изменений в Закон Забайкальского края «Об оплате труда работников государственных учреждений Забайкальского края» устанавливается надбавка работникам, занятым на рабочих местах, находящихся в малых населенных пунктах.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Размеры, условия и порядок предоставления указанной надбавки утверждены постановлением Правительства Забайкальского края от 24 июля 2024 года № 368.</w:t>
      </w:r>
      <w:r>
        <w:rPr>
          <w:color w:val="000000"/>
          <w:sz w:val="28"/>
          <w:szCs w:val="28"/>
        </w:rPr>
      </w:r>
    </w:p>
    <w:p>
      <w:pPr>
        <w:pStyle w:val="984"/>
        <w:numPr>
          <w:ilvl w:val="0"/>
          <w:numId w:val="22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Премиальные выплаты по итогам работы (система премирования).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Премиальные выплаты по итогам работы определяются исходя из следующих условий: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успешное и добросовестное исполнение работником учреждения своих должностных обязанностей в соответствующем периоде работы, успешное выполнение показателей государственного (муниципального) задания;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инициатива, творчество и использование в работе современных форм и методов организации труда;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качественная подготовка и проведение мероприятий, связанных </w:t>
      </w:r>
      <w:r>
        <w:rPr>
          <w:color w:val="000000"/>
          <w:sz w:val="28"/>
          <w:szCs w:val="28"/>
        </w:rPr>
        <w:br/>
        <w:t xml:space="preserve">с уставной деятельностью учреждения;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участие работника учреждения в течение соответствующего периода в выполнении особо важных работ и мероприятий.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Премиальная вы</w:t>
      </w:r>
      <w:r>
        <w:rPr>
          <w:color w:val="000000"/>
          <w:sz w:val="28"/>
          <w:szCs w:val="28"/>
        </w:rPr>
        <w:t xml:space="preserve">плата по итогам работы осуществляется по решению руководителя учреждения. Размер премиальных выплат может устанавливаться как в процентном отношении к размеру оклада (должностного оклада), так и в абсолютном значении, но не более среднемесячного заработка.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Премиальные выплаты, размеры и условия их осуществления устанавливаются кол</w:t>
      </w:r>
      <w:r>
        <w:rPr>
          <w:color w:val="000000"/>
          <w:sz w:val="28"/>
          <w:szCs w:val="28"/>
        </w:rPr>
        <w:t xml:space="preserve">лективными договорами, соглашениями, локальными нормативными актами в пределах бюджетных ассигнований на оплату труда работников учреждения, а также средств, поступающих от приносящей доход деятельности, направленных учреждением на оплату труда работников.</w:t>
      </w:r>
      <w:r>
        <w:rPr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Размеры и условия осуществления выплат стимулирующего 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рактера устанавливаются положением об оплате труда, коллективными договорам, соглашениями, локальными нормативными актами, трудовыми договорами с учетом разрабатываемых в учреждениях показателей и критериев оценки эффективности труда работников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показателей и критериев оценки эффективности труда осуществляется с учетом следующих принципов: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объективность – размер вознаграждения работника должен определяться на основе объективной оценки результатов своего труда, а также за достижение коллективных результатов труда;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предсказуемость –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адекватность – вознаграждение должно быть адекватно трудовому вкладу каждого работника в результат коллективного труда;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своевременность – вознаграждение должно следовать за достижением результатов;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прозрачность – правила определения вознаграждения должны быть понятны каждому работнику.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Конкретный размер выплат стимулирующего характера может устанавливаться как в процентом отношении к окладу, так и в абсолютной значении.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Лишение выплат стимулирующего характера или их снижение оформляется локальными нормативным актом учреждения с обязательным указанием причины.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Стимулирующие выплаты осуществляются в пределах бюджетных ассигнований на оплату труда работников учреждения, в том числе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средств, поступающих от предпринимательской и иной приносящей доход деятельности, устанавливаются в соответствии с коллективными договорами и локальными нормативными актами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Выплаты, указанные в разделе 4 носят стимулирующий характер, не образуют новый оклад (должностной оклад) и начисляются работнику по основному месту работы пропорционально отработанному времени.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оплаты труда руководителей учреждений, заместителей руководителей и главных бухгалтеров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ind w:left="360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руководителя, заместителя и главного бухгалтера в учреждении определяется трудовыми договорами в соответствии с постановлением Правительства Забайкальского края от 26 сентября 2024 года № 488.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оплаты труда руководителей учреждений устанавливаются в трудовом договоре (дополнительном соглашении к трудовому договору), оформляемом в соответствии с типовой формой трудового дог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овора с руководителем государственного (муниципального) учреждения,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руководителя, заместителя и главного бухгалтера в учреждении состоит из должностного оклада, компенсационных и стимулирующих выплат.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руководителя краевого учреждения устанавливается Министерством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и объема выполняемой работы, а также дифференциации краевых учреждений по группам по оплате труда. Группы по оплате труда определяются Министерством в соответствии с объемными показателями деятельности учреждений и (или) их штатной численностью.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 устанавливает кратность оклада руководителя учреждения к окладу рабочего первого квалификационного уровня профессиональной квалификационной группы «Общеотраслевые профессии рабочих первого уровня» с учетом отнесения учреждения к группе по оплате труда.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Компенсационные выплаты, за исключением районного коэффициента к заработной плате и процен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тной надбавки к заработной плате, устанавливаются для руководителя учреждения, его заместителей и главного бухгалтера в процентах к должностному окладу или в абсолютных размерах в зависимости от условий труда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выплат стимулирующего характера руководителю учреждения устанавливается Министерством с учетом результатов деятельности учреждения в соответствии с критериями оценки и целевыми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показателями эффективности работы учреждения и его руководителя за счет всех источников финансирования.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оценки эффективности деятельности руководителей и целевые показатели эффективности деятельности учреждений утверждаются приказом Министерства.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предельного уровня соотношения среднемесячной заработной платы руко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водителя учреждения, его заместителей и главного бухгалтера, и среднемесячной заработной платы работников учреждения устанавливается в кратности от 1,5 до 6,5 в соответствии с постановлением Правительства Забайкальского края от 26 сентября 2024 года № 488.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среднемесячной заработной платы руководителя учреждения, его заместителей и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лавного бухгалтера и среднемесячной заработной платы работников учреждения, формируемой за счет всех финансовых источников, рассчитывается за предшествующий календарный год. Министерство ежегодно устанавливает предельный размер среднемесячной заработной 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 руководителя учреждения, его заместителей и главного бухгалтера на текущий год исходя из среднемесячной заработной платы работников учреждения, сложившейся в предыдущем календарном году. Определение размера среднемесячной заработной платы работников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апреля 2025 года № 540 «Об особенностях порядка исчисления средней заработной платы».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заработная плата работников учреждения рассчитывается без учета заработной платы руководителя, заместителя руководителя, главного бухгалтера.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оклады заместителей руководителя, главного бухгалтера устанавливаются на 15–30 процентов ниже должностного оклада руководителя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Стимулирующие выплаты заместителей 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ководителя учреждений, главному бухгалтеру устанавливаются в зависимости от исполнения ими целевых показателей эффективности работы, устанавливаемых руководителем краевого учреждения, с учетом выполнения целевых показателей деятельности учреждения в целом.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оклады руководителя учреждения, его заместителей и главного бухгалтера индексируются одновременно с индексацией оклада (должностного оклада), тарифной ставки заработной платы работников общеотраслевых профессий рабочих и должностей служащих.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jc w:val="both"/>
        <w:tabs>
          <w:tab w:val="left" w:pos="126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Расходы, связанные с оплатой труда руководителя учреждения, его заместителей и главного бухгалтера, осуществляются в пределах бюджетных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ассигнований, предусмотренных в законе Забайкальского края о бюджете на текущий финансовый год и плановый период, с учетом предельной доли оплаты труда работников административно-управленческого и вспомогательного персонала в фонде оплаты труда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устанавливает предельную долю опла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труда работников административно-управленческого и вспомогательного персонала в фонде оплаты труда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учреждения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оказании материальной помощи руководителю учреждения и ее конкретных размерах принимает Министерство.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Style w:val="986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986"/>
          <w:rFonts w:ascii="Times New Roman" w:hAnsi="Times New Roman"/>
          <w:color w:val="000000"/>
          <w:sz w:val="28"/>
          <w:szCs w:val="28"/>
        </w:rPr>
        <w:t xml:space="preserve">Порядок и условия оплаты труда работников физической культуры и спорта</w:t>
      </w:r>
      <w:r>
        <w:rPr>
          <w:rStyle w:val="986"/>
          <w:rFonts w:ascii="Times New Roman" w:hAnsi="Times New Roman"/>
          <w:bCs w:val="0"/>
          <w:color w:val="000000"/>
          <w:sz w:val="28"/>
          <w:szCs w:val="28"/>
        </w:rPr>
      </w:r>
    </w:p>
    <w:p>
      <w:pPr>
        <w:pStyle w:val="988"/>
        <w:ind w:left="710" w:firstLine="0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работников физической культуры и спорта состоит из оклада (должностного оклада), выплат компенсационного и стимулирующего характера.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размеры минимальных окладов (должностных окладов) работникам физической культуры и спорта устанавливаются согласно Приложение 1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тренеров, осуществляющих спортивную подготовку, устанавливается исходя из тарифицируемой тренерской нагрузки.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тренерской нагрузкой работников предлагается понимать тренерскую работу, выполняемую во взаимодействии с занимающимися по видам деятельности, установленным планом или программой спортивной подготовки.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тренерской нагрузки работников рекомендуется определять ежегодно на начало тренировочного периода (спортивного сезона) и устанавливать распорядительным актом учреждения (по согласованию с учредителем).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тренерской нагрузки, установленный работнику, оговаривается в трудовом договоре (дополнительном оглашении к трудовому договору).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тренерской нагрузки работников, установленный на начало тренировочного периода (спортивного сезона),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быть изменен в текущем году (тренировочном периоде, спортивном сезоне) по инициативе работодателя, за исключением ее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объема тренерской нагрузки на следующий год (тренировочный период, спортивный сезон) рекомендуется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хранять преемственность работников в подготовки спортсменов, не допуская ее изменения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спортсменов, групп.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рабочего времени для тренеров, осуществляющих спортивную подготовку, устанавливается исходя их продолжительности рабочего времени 40 часов в неделю.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Тренерам, осуществляющих спортивную подготовку, рекомендуется устанавливать норму часов непосредственно тренерской работы за ставку заработной платы (нормируемая часть тренерской работы) в размере 24 часа в неделю.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тренерскую работу, выполняемую работником с его письменного согласия, ниже установленной нормы часов за ставку заработной платы, оплата, производится пропорционально фактически определенному объему выполненной тренерской работы.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оплаты труда тренерского состава предлагается использовать следующие методы: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«почасовой метод» - зависит от выработки рабочего времени, затраченного на реализацию программы спортивной подготовки в соответствии с табелем учета рабочего времени;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firstLine="708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«подушевой метод» - зависит от количества занимающихся по каждому этапу (периоду) подготовки и избранному виду спорта, закрепленных за работником в соответствии с тарификацией.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Месячная заработная плата тренеров при "почасовом методе" расчета определяется путем умножения оклада на их фактическую нагрузку в неделю и деления полученного произведения на установленную за ставку норму часов тренерской работы в неделю.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таком же порядке исчисляется месячная заработная плата тренерского состава за работу, осуществляемую на условиях совместительства.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Месячная заработная плата тренера при "подушевом методе" определяется путем умножения оклада на норматив оплаты труда и на количество занимающихся под его руководством.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Нормативы оплаты труда тренеров за подготовку одного занимающегося устанавливается в процентах от ставки заработной платы.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Расчетные нормативы разработаны для работников физической культуры и спорта в зависимости от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спорта, в котором осуществляет свою деятельность работник, и этапа подготовки спортсменов; для адаптивных видов спорта - в зависимости от группы, к которой относится занимающийся в соответствии со степенью функциональных возможностей и этапов подготовки.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(закрепление) работников, совместно участвующих в реализации программ спортивной подготовки, рекомендует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проводить в соответствии с планом комплектования организации, осуществляющей спортивную подготовку, тарификационными списками работников (далее - тарификация), локальными нормативными актами организации, при этом возможно использовать следующие методы: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бригадный метод работы (работа по реализации программы спортивной подготовки более чем одним специалистом, непосредственно осуществляющим тренировочный процесс по этапам (периодам), с контингентом занимающихся, закрепленным персонально за каждым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Тарифицирование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работников рекомендуется осуществлять с учетом конкретного объема, сложности и специфики работы, с последующим распределением фонда оплаты труда по коэффициенту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рудового участия каждого конкретного специалиста (норме отработанных часов) и вкладу в выполнение установленных для бригады норм и показателей результативности работы. Коэффициент трудового участия тренера в реализации тренировочного (учебного) плана, явля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ющегося соотношением установленного работнику объема работы со спортсменами по каждому этапу (периоду) подготовки к объему, установленному по программе на определенном этапе (периоде) подготовки (данный коэффициент не может превышать показатель равный 1).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одновременная работа двух и более работников, реализующих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подготовки с одним и тем же контингентом занимающихся, закрепленным одновременно за несколькими специалистами с учетом специфики избранного вида спорта (группы видов спорта), либо в соответствии с федеральными стандартами спортивной подготовки.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Тарифицирование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работников осуществляется с учетом их одновременной работы с занимающимися.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Тарифицирование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специалистов, участвующих в реализации программ спортивной подготовки может осуществляться с применением разных методов по каждой группе занимающихся. При этом не допускается применение нескольких методов одновременно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тарифицированию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специалистов с одной и той же группой занимающихся, закрепленных за специалистом соответствующим распорядительным актом организации (приказом руководителя).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выплат стимулирующего характера устанавливается работникам в соответствии с локальными актами учреждений, включающими критерии оценки эффективности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работников физической культуры и спорта рекомендовано применять выплаты стимулирующего характера согласно настоящего Положения.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Размеры выплат стимулирующего характера устанавливаются на определенный срок (месяц, квартал, год).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Размеры выплат компенсационного характера устанавливаются работникам физической культуры и спорта учреждений согласно разделу 3 настоящего Положения.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1077"/>
        <w:jc w:val="center"/>
        <w:spacing w:before="0" w:beforeAutospacing="0" w:after="12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86"/>
          <w:rFonts w:ascii="Times New Roman" w:hAnsi="Times New Roman"/>
          <w:color w:val="000000"/>
          <w:sz w:val="28"/>
          <w:szCs w:val="28"/>
        </w:rPr>
        <w:t xml:space="preserve">Другие вопросы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задержки выплаты работникам заработной платы и других нарушений оплаты труда руководитель учреждения несут ответственность в соответствии с законодательством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имеющихся бюджетных ассигнований, средств предпринимательской и иной деятельности, приносящей доход из фонда оплаты труда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86"/>
          <w:rFonts w:ascii="Times New Roman" w:hAnsi="Times New Roman"/>
          <w:color w:val="000000"/>
          <w:sz w:val="28"/>
          <w:szCs w:val="28"/>
        </w:rPr>
        <w:t xml:space="preserve">Формирование фонда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ind w:left="710" w:firstLine="0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труда работников государственных учреждений, финансируемых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Забайкальского края, формируется на календарный год в пределах бюджетных ассигнований краевого бюджета и средств, поступающих от предпринимательской и иной, приносящей доход деятельности учреждений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фонда оплаты труда работников учреждении осуществляется исходя из размеров окладов (должностных окладов) работников по занимаемым должностям, компенсационных, стимулирующих, иных гарантированных выплат и численности работников учреждении.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дол оплаты труда работников административно-управленческого и вспомогательного персонала в фонде оплаты труда работников учреждении составляет 40%.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Экономия средств фонда оплаты труда работников учреждении может направляться на предоставление стимулирующих выплат.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numPr>
          <w:ilvl w:val="1"/>
          <w:numId w:val="3"/>
        </w:numPr>
        <w:ind w:left="0" w:firstLine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требований, установленных трудовым законодательством и иными нормативными правовыми актами, содержащими нормы трудового права, руководитель учреждения несет ответственность, предусмотренную действующим законодательством.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ind w:left="710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4"/>
        <w:jc w:val="both"/>
        <w:spacing w:before="0" w:beforeAutospacing="0" w:after="0" w:afterAutospacing="0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right"/>
        <w:spacing w:after="120"/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  <w:br w:type="page" w:clear="all"/>
      </w:r>
      <w:r>
        <w:rPr>
          <w:color w:val="000000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РЕКОМЕНДУЕМЫЕ РАЗМЕРЫ ОКЛАДОВ (ДОЛЖНОСТНЫХ ОКЛАДОВ)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О ПРОФЕССИОНАЛЬНЫМ КВАЛИФИКАЦИОННЫМ ГРУППАМ ДОЛЖНОСТЕЙ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И ПРОФЕССИЙ </w:t>
      </w:r>
      <w:r>
        <w:rPr>
          <w:rFonts w:ascii="Times New Roman" w:hAnsi="Times New Roman"/>
          <w:i w:val="0"/>
          <w:color w:val="000000"/>
        </w:rPr>
      </w:r>
    </w:p>
    <w:p>
      <w:pPr>
        <w:jc w:val="both"/>
        <w:widowControl w:val="off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</w:r>
      <w:r>
        <w:rPr>
          <w:color w:val="000000"/>
          <w:sz w:val="16"/>
          <w:szCs w:val="20"/>
        </w:rPr>
      </w:r>
    </w:p>
    <w:tbl>
      <w:tblPr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26"/>
        <w:gridCol w:w="14"/>
        <w:gridCol w:w="79"/>
        <w:gridCol w:w="5545"/>
        <w:gridCol w:w="112"/>
        <w:gridCol w:w="21"/>
        <w:gridCol w:w="1915"/>
        <w:gridCol w:w="36"/>
      </w:tblGrid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Квалификационные уровни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Должности, отнесенные </w:t>
            </w:r>
            <w:r>
              <w:rPr>
                <w:color w:val="000000"/>
              </w:rPr>
              <w:br/>
              <w:t xml:space="preserve">к квалификационным уровням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Рекомендуемый размер оклада (должностного оклада), руб.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РАБОТНИКОВ ФИЗИЧЕСКОЙ КУЛЬТУРЫ И СПОРТА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  <w:r>
              <w:rPr>
                <w:b/>
                <w:color w:val="000000"/>
                <w:szCs w:val="2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Профессиональная квалификационная группа должностей </w:t>
            </w:r>
            <w:r>
              <w:rPr>
                <w:bCs/>
                <w:color w:val="000000"/>
                <w:szCs w:val="20"/>
              </w:rPr>
              <w:br/>
              <w:t xml:space="preserve">работников физической культуры и спорта первого уровня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Дежурный по спортивному залу; сопровождающий спортсмена – инвалида первой группы инвалидности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10 754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Спортивный судья; спортсмен; спортсмен-ведущий</w:t>
            </w:r>
            <w:r>
              <w:rPr>
                <w:color w:val="000000"/>
                <w:spacing w:val="-6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10 754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Профессиональная квалификационная группа должностей </w:t>
            </w:r>
            <w:r>
              <w:rPr>
                <w:bCs/>
                <w:color w:val="000000"/>
              </w:rPr>
              <w:br/>
              <w:t xml:space="preserve">работников физической культуры и спорта второго уровня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Инструктор по адаптивной физической культуре; инструктор по спорту; спортсмен-инструктор; тренер-наездник лошадей; техник по эксплуатации и ремонту спортивной техники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Администратор тренировочного процесса; инструктор-методист по адаптивной физической культуре; ин</w:t>
            </w:r>
            <w:r>
              <w:rPr>
                <w:color w:val="000000"/>
                <w:spacing w:val="-6"/>
              </w:rPr>
              <w:t xml:space="preserve">структор-методист физкультурно-спортивных организаций; медицинская сестра по массажу спортивной сборной команды Российской Федерации; оператор видеозаписи спортивной сборной команды; тренер; тренер-преподаватель по адаптивной физической культуре; хореограф</w:t>
            </w:r>
            <w:r>
              <w:rPr>
                <w:color w:val="000000"/>
                <w:spacing w:val="-6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5"/>
            <w:shd w:val="clear" w:color="auto" w:fill="auto"/>
            <w:tcW w:w="577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Инструктор-методист спортивной сборной команды Российской Федерации по адаптивной физической культуре; начальник водной станции; начальник клуба (спортивного, </w:t>
            </w:r>
            <w:bookmarkStart w:id="0" w:name="l33"/>
            <w:r/>
            <w:bookmarkEnd w:id="0"/>
            <w:r>
              <w:rPr>
                <w:color w:val="000000"/>
                <w:spacing w:val="-2"/>
              </w:rPr>
              <w:t xml:space="preserve">спортивно-технического, стрелково-спортивного); начальник мастерской по ремонту спортивной </w:t>
            </w:r>
            <w:bookmarkStart w:id="1" w:name="l27"/>
            <w:r/>
            <w:bookmarkEnd w:id="1"/>
            <w:r>
              <w:rPr>
                <w:color w:val="000000"/>
                <w:spacing w:val="-2"/>
              </w:rPr>
              <w:t xml:space="preserve">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 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Профессиональная квалификационная группа должностей 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 xml:space="preserve">работников физической культуры и спорта третьего уровня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Аналитик (по виду или группе видов спорта); врач по спортивной медицине спортивных сборных команд Российской Федерации (по видам спорта); м</w:t>
            </w:r>
            <w:r>
              <w:rPr>
                <w:color w:val="000000"/>
                <w:spacing w:val="-2"/>
              </w:rPr>
              <w:t xml:space="preserve">еханик спортивной сборной команды Российской Федерации; начальник отдела (по виду или группе видов спорта); специалист спортивной сборной команды Российской Федерации (по виду спорта); тренер спортивной сборной команды Российской Федерации (по виду спорта)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Начальник спортивной сборной команды Российской Федерации (по виду спорта); старший тренер спортивной сборной команды Российской Федерации (по виду спорта)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Профессиональная квалификационная группа должностей </w:t>
            </w:r>
            <w:r>
              <w:rPr>
                <w:bCs/>
                <w:color w:val="000000"/>
              </w:rPr>
              <w:br/>
              <w:t xml:space="preserve">работников физической культуры и спорта четвёртого уровня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Не установлен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Главный тренер спортивной сборной команды Российской Федерации (по виду спорта); государственный тренер (по виду спорта); начальник управления (по виду или группе видов спорта)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17 428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gridSpan w:val="7"/>
            <w:shd w:val="clear" w:color="auto" w:fill="auto"/>
            <w:tcW w:w="103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СЛУЖАЩИХ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  <w:r>
              <w:rPr>
                <w:b/>
                <w:color w:val="00000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7"/>
            <w:shd w:val="clear" w:color="auto" w:fill="auto"/>
            <w:tcW w:w="103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Профессиональная квалификационная группа </w:t>
            </w:r>
            <w:r>
              <w:rPr>
                <w:color w:val="000000"/>
                <w:szCs w:val="20"/>
              </w:rPr>
              <w:br/>
              <w:t xml:space="preserve">«Общеотраслевые должности служащих первого уровня»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>
          <w:gridAfter w:val="1"/>
          <w:trHeight w:val="1134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Агент по закупкам; агент по снабжению; архивариус; дежурный (залу, общежитию и др.); делопроизводитель; инспектор по учету; кассир; комендант; машинистка; оператор по </w:t>
            </w:r>
            <w:bookmarkStart w:id="2" w:name="l95"/>
            <w:r/>
            <w:bookmarkEnd w:id="2"/>
            <w:r>
              <w:rPr>
                <w:color w:val="000000"/>
              </w:rPr>
              <w:t xml:space="preserve">диспетчерскому обслуживанию лифтов; секретарь; секретарь-машинистка; статистик; счетовод; табельщик; учетчик; хронометражист; чертежник; экспедитор; экспедитор по перевозке грузов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10 754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Должности служащего первого квалифицированного уровня, по которым может устанавливаться производственное должностное наименование «старший»</w:t>
            </w:r>
            <w:r>
              <w:rPr>
                <w:color w:val="000000"/>
                <w:spacing w:val="-8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10 754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gridSpan w:val="7"/>
            <w:shd w:val="clear" w:color="auto" w:fill="auto"/>
            <w:tcW w:w="103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</w:t>
            </w:r>
            <w:r>
              <w:rPr>
                <w:color w:val="000000"/>
              </w:rPr>
              <w:br/>
              <w:t xml:space="preserve">«Общеотраслевые должности служащих второго уровня»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2192"/>
        </w:trPr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73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Администратор; диспетчер; инспектор по кадрам; секретарь руков</w:t>
            </w:r>
            <w:r>
              <w:rPr>
                <w:color w:val="000000"/>
              </w:rPr>
              <w:t xml:space="preserve">одителя;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 по защите информации; техник по инвентаризации строений и сооружений; </w:t>
            </w:r>
            <w:bookmarkStart w:id="3" w:name="l124"/>
            <w:r/>
            <w:bookmarkEnd w:id="3"/>
            <w:r>
              <w:rPr>
                <w:color w:val="000000"/>
              </w:rPr>
              <w:t xml:space="preserve">техник по труду; техник-программист; техник-технолог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134"/>
        </w:trPr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73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архивом; </w:t>
            </w:r>
            <w:bookmarkStart w:id="4" w:name="l99"/>
            <w:r/>
            <w:bookmarkEnd w:id="4"/>
            <w:r>
              <w:rPr>
                <w:color w:val="000000"/>
              </w:rPr>
              <w:t xml:space="preserve">заведующий комнатой отдыха</w:t>
            </w:r>
            <w:r>
              <w:rPr>
                <w:color w:val="000000"/>
              </w:rPr>
              <w:t xml:space="preserve">; 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r>
              <w:rPr>
                <w:color w:val="000000"/>
              </w:rPr>
              <w:t xml:space="preserve">внутридолжностная</w:t>
            </w:r>
            <w:r>
              <w:rPr>
                <w:color w:val="000000"/>
              </w:rPr>
              <w:t xml:space="preserve"> категория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1420"/>
        </w:trPr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73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общежитием; заведующий </w:t>
            </w:r>
            <w:bookmarkStart w:id="5" w:name="l100"/>
            <w:r/>
            <w:bookmarkEnd w:id="5"/>
            <w:r>
              <w:rPr>
                <w:color w:val="000000"/>
              </w:rPr>
              <w:t xml:space="preserve">производством (шеф-повар); заведующий столовой; начальник хозяйственного отдела. Должности служащих первого квалификационного уровня, по которым устанавливается I </w:t>
            </w:r>
            <w:r>
              <w:rPr>
                <w:color w:val="000000"/>
              </w:rPr>
              <w:t xml:space="preserve">внутридолжностная</w:t>
            </w:r>
            <w:r>
              <w:rPr>
                <w:color w:val="000000"/>
              </w:rPr>
              <w:t xml:space="preserve"> категория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848"/>
        </w:trPr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73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 контрольный (участка, цеха); мастер участка (включая старшего); механик. Должности </w:t>
            </w:r>
            <w:bookmarkStart w:id="6" w:name="l116"/>
            <w:r/>
            <w:bookmarkEnd w:id="6"/>
            <w:r>
              <w:rPr>
                <w:color w:val="000000"/>
              </w:rPr>
              <w:t xml:space="preserve">служащих первого квалификационного уровня, по которым может устанавливаться производное должностное наименование "ведущий"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850"/>
        </w:trPr>
        <w:tc>
          <w:tcPr>
            <w:gridSpan w:val="2"/>
            <w:shd w:val="clear" w:color="auto" w:fill="auto"/>
            <w:tcW w:w="264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73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11 895</w:t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423"/>
        </w:trPr>
        <w:tc>
          <w:tcPr>
            <w:gridSpan w:val="7"/>
            <w:shd w:val="clear" w:color="auto" w:fill="auto"/>
            <w:tcW w:w="103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</w:t>
            </w:r>
            <w:r>
              <w:rPr>
                <w:color w:val="000000"/>
              </w:rPr>
              <w:br/>
              <w:t xml:space="preserve">«Общеотраслевые должности служащих третьего уровня»</w:t>
            </w:r>
            <w:r>
              <w:rPr>
                <w:color w:val="000000"/>
              </w:rPr>
            </w:r>
          </w:p>
        </w:tc>
      </w:tr>
      <w:tr>
        <w:tblPrEx/>
        <w:trPr>
          <w:trHeight w:val="525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Бухгалтер</w:t>
            </w:r>
            <w:r>
              <w:rPr>
                <w:color w:val="000000"/>
              </w:rPr>
              <w:t xml:space="preserve">; бухгалтер-ревизор; документовед; инженер; инженер по защите информации; инженер по комплектации оборудования; инженер по нормированию труда; инженер по организации и нормированию труда; инженер по организации труда; инженер по охране труда; инженер по по</w:t>
            </w:r>
            <w:r>
              <w:rPr>
                <w:color w:val="000000"/>
              </w:rPr>
              <w:t xml:space="preserve">дготовке кадров; инженер по ремонту; инженер-программист (программист); инженер-технолог (технолог); инженер-электроник (электроник); инженер-энергетик (энергетик); менеджер; менеджер по персоналу; менеджер по связям с общественностью; психолог; социолог; </w:t>
            </w:r>
            <w:bookmarkStart w:id="7" w:name="l118"/>
            <w:r/>
            <w:bookmarkEnd w:id="7"/>
            <w:r>
              <w:rPr>
                <w:color w:val="000000"/>
              </w:rPr>
              <w:t xml:space="preserve">специалист по защите информации; специалист по кадрам; специалист по связям с общественностью; экономист; экономист по</w:t>
            </w:r>
            <w:r>
              <w:rPr>
                <w:color w:val="000000"/>
              </w:rPr>
              <w:t xml:space="preserve">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 </w:t>
            </w:r>
            <w:bookmarkStart w:id="8" w:name="l119"/>
            <w:r/>
            <w:bookmarkEnd w:id="8"/>
            <w:r>
              <w:rPr>
                <w:color w:val="000000"/>
              </w:rPr>
              <w:t xml:space="preserve"> юрисконсульт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II </w:t>
            </w:r>
            <w:r>
              <w:rPr>
                <w:color w:val="000000"/>
              </w:rPr>
              <w:t xml:space="preserve">внутридолжностная</w:t>
            </w:r>
            <w:r>
              <w:rPr>
                <w:color w:val="000000"/>
              </w:rPr>
              <w:t xml:space="preserve"> категория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 </w:t>
            </w:r>
            <w:r>
              <w:rPr>
                <w:color w:val="000000"/>
              </w:rPr>
              <w:t xml:space="preserve">внутридолжностная</w:t>
            </w:r>
            <w:r>
              <w:rPr>
                <w:color w:val="000000"/>
              </w:rPr>
              <w:t xml:space="preserve"> категория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>
          <w:trHeight w:val="194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>
          <w:trHeight w:val="828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Главные специалисты: в отделах, отделениях, лабораториях, мастерских; заместитель главного бухгалтера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13 822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</w:t>
            </w:r>
            <w:r>
              <w:rPr>
                <w:color w:val="000000"/>
              </w:rPr>
              <w:br/>
              <w:t xml:space="preserve">«Общеотраслевые должности служащих четвертого уровня»</w:t>
            </w:r>
            <w:r>
              <w:rPr>
                <w:color w:val="000000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кадров (спецотдела и др.); начальник отдела материально-технического снабжения; начальник отдела организации и оплаты труда; начальник отдела охраны труда; начальник отдела </w:t>
            </w:r>
            <w:bookmarkStart w:id="9" w:name="l111"/>
            <w:r/>
            <w:bookmarkEnd w:id="9"/>
            <w:r>
              <w:rPr>
                <w:color w:val="000000"/>
              </w:rPr>
              <w:t xml:space="preserve">подготовки</w:t>
            </w:r>
            <w:r>
              <w:rPr>
                <w:color w:val="000000"/>
              </w:rPr>
              <w:t xml:space="preserve">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планово-экономического отдела; начальник финансового отдела; начальник юридического отдела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17 428</w:t>
            </w:r>
            <w:r>
              <w:rPr>
                <w:color w:val="000000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&lt;*&gt; (механик, сварщик, специалист по защите информации, технолог, эксперт; энергетик, заведующий медицинским складом мобилизационного резерва)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17 428</w:t>
            </w:r>
            <w:r>
              <w:rPr>
                <w:color w:val="000000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575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(начальник, заведующий) филиала, другого обособленного структурного подразделения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17 428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</w:rPr>
              <w:t xml:space="preserve">РАБОЧИХ</w:t>
            </w:r>
            <w:r>
              <w:rPr>
                <w:b/>
                <w:bCs/>
                <w:iCs/>
                <w:color w:val="000000"/>
                <w:sz w:val="28"/>
                <w:szCs w:val="28"/>
                <w:vertAlign w:val="superscript"/>
              </w:rPr>
              <w:footnoteReference w:id="4"/>
            </w:r>
            <w:r>
              <w:rPr>
                <w:color w:val="000000"/>
                <w:szCs w:val="2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Профессиональная квалификационная группа </w:t>
            </w:r>
            <w:r>
              <w:rPr>
                <w:color w:val="000000"/>
                <w:szCs w:val="20"/>
              </w:rPr>
              <w:br/>
              <w:t xml:space="preserve">«Общеотраслевые профессии рабочих первого уровня»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>
          <w:trHeight w:val="3470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Наименования профессий рабочих, по которым предусмотрено присвоение 1, 2 и 3 квалификационных </w:t>
            </w:r>
            <w:r>
              <w:rPr>
                <w:color w:val="000000"/>
              </w:rPr>
              <w:t xml:space="preserve">разрядов в соответствии с Единым тарифно-квалификационным справочником работ и профессий рабочих; гардеробщик; горничная; грузчик; дворник; истопник; кассир билетный; кастелянша; кладовщик; контролер-кассир; конюх; оператор связи; приемщик пункта проката; </w:t>
            </w:r>
            <w:r>
              <w:rPr>
                <w:color w:val="000000"/>
              </w:rPr>
              <w:t xml:space="preserve">ремонтировщик</w:t>
            </w:r>
            <w:r>
              <w:rPr>
                <w:color w:val="000000"/>
              </w:rPr>
              <w:t xml:space="preserve"> плоскостных спортивных </w:t>
            </w:r>
            <w:bookmarkStart w:id="10" w:name="l70"/>
            <w:r/>
            <w:bookmarkEnd w:id="10"/>
            <w:r>
              <w:rPr>
                <w:color w:val="000000"/>
              </w:rPr>
              <w:t xml:space="preserve">сооружений; садовник; сестра-хозяйка; сторож (вахтер); уборщик производственных помещений; уборщик служебных помещений; уборщик территорий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10 344</w:t>
            </w:r>
            <w:r>
              <w:rPr>
                <w:color w:val="000000"/>
              </w:rPr>
            </w:r>
          </w:p>
        </w:tc>
      </w:tr>
      <w:tr>
        <w:tblPrEx/>
        <w:trPr>
          <w:trHeight w:val="77"/>
        </w:trPr>
        <w:tc>
          <w:tcPr>
            <w:gridSpan w:val="3"/>
            <w:shd w:val="clear" w:color="auto" w:fill="auto"/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10 344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</w:t>
            </w:r>
            <w:r>
              <w:rPr>
                <w:color w:val="000000"/>
              </w:rPr>
              <w:br/>
              <w:t xml:space="preserve">«Общеотраслевые профессии рабочих второго уровня»</w:t>
            </w:r>
            <w:r>
              <w:rPr>
                <w:color w:val="000000"/>
              </w:rPr>
            </w:r>
          </w:p>
        </w:tc>
      </w:tr>
      <w:tr>
        <w:tblPrEx/>
        <w:trPr>
          <w:trHeight w:val="1322"/>
        </w:trPr>
        <w:tc>
          <w:tcPr>
            <w:gridSpan w:val="3"/>
            <w:shd w:val="clear" w:color="auto" w:fill="auto"/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 </w:t>
            </w:r>
            <w:bookmarkStart w:id="11" w:name="l75"/>
            <w:r/>
            <w:bookmarkEnd w:id="11"/>
            <w:r>
              <w:rPr>
                <w:color w:val="000000"/>
                <w:spacing w:val="-8"/>
              </w:rPr>
              <w:t xml:space="preserve">водитель автомобиля; механик по техническим видам спорта; оператор электронно-вычислительных и вычислительных машин</w:t>
            </w:r>
            <w:r>
              <w:rPr>
                <w:color w:val="000000"/>
                <w:spacing w:val="-8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10 389</w:t>
            </w:r>
            <w:r>
              <w:rPr>
                <w:color w:val="000000"/>
              </w:rPr>
            </w:r>
          </w:p>
        </w:tc>
      </w:tr>
      <w:tr>
        <w:tblPrEx/>
        <w:trPr>
          <w:trHeight w:val="1265"/>
        </w:trPr>
        <w:tc>
          <w:tcPr>
            <w:gridSpan w:val="3"/>
            <w:shd w:val="clear" w:color="auto" w:fill="auto"/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 </w:t>
            </w:r>
            <w:bookmarkStart w:id="12" w:name="l77"/>
            <w:r/>
            <w:bookmarkEnd w:id="12"/>
            <w:r>
              <w:rPr>
                <w:color w:val="000000"/>
                <w:spacing w:val="-8"/>
              </w:rPr>
              <w:t xml:space="preserve">тарифно-квалификационным справочником работ и профессий рабочих</w:t>
            </w:r>
            <w:r>
              <w:rPr>
                <w:color w:val="000000"/>
                <w:spacing w:val="-8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10 389</w:t>
            </w:r>
            <w:r>
              <w:rPr>
                <w:color w:val="000000"/>
              </w:rPr>
            </w:r>
          </w:p>
        </w:tc>
      </w:tr>
      <w:tr>
        <w:tblPrEx/>
        <w:trPr>
          <w:trHeight w:val="656"/>
        </w:trPr>
        <w:tc>
          <w:tcPr>
            <w:gridSpan w:val="3"/>
            <w:shd w:val="clear" w:color="auto" w:fill="auto"/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  <w:r>
              <w:rPr>
                <w:color w:val="000000"/>
                <w:spacing w:val="-8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10 389</w:t>
            </w:r>
            <w:r>
              <w:rPr>
                <w:color w:val="000000"/>
              </w:rPr>
            </w:r>
          </w:p>
        </w:tc>
      </w:tr>
      <w:tr>
        <w:tblPrEx/>
        <w:trPr>
          <w:trHeight w:val="656"/>
        </w:trPr>
        <w:tc>
          <w:tcPr>
            <w:gridSpan w:val="3"/>
            <w:shd w:val="clear" w:color="auto" w:fill="auto"/>
            <w:tcW w:w="271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78" w:type="dxa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  <w:r>
              <w:rPr>
                <w:color w:val="000000"/>
                <w:spacing w:val="-8"/>
              </w:rPr>
            </w:r>
          </w:p>
        </w:tc>
        <w:tc>
          <w:tcPr>
            <w:gridSpan w:val="2"/>
            <w:shd w:val="clear" w:color="auto" w:fill="auto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10 389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РАБОТНИКОВ</w:t>
            </w:r>
            <w:r>
              <w:rPr>
                <w:b/>
                <w:bCs/>
                <w:iCs/>
                <w:color w:val="000000"/>
              </w:rPr>
              <w:t xml:space="preserve"> ОБРАЗОВАНИЯ</w:t>
            </w:r>
            <w:r>
              <w:rPr>
                <w:b/>
                <w:bCs/>
                <w:iCs/>
                <w:color w:val="000000"/>
                <w:vertAlign w:val="superscript"/>
              </w:rPr>
              <w:footnoteReference w:id="5"/>
            </w:r>
            <w:r>
              <w:rPr>
                <w:color w:val="000000"/>
                <w:szCs w:val="2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Профессиональная квалификационная группа должностей </w:t>
            </w:r>
            <w:r>
              <w:rPr>
                <w:color w:val="000000"/>
                <w:szCs w:val="20"/>
              </w:rPr>
              <w:br/>
              <w:t xml:space="preserve">работников учебно-вспомогательного персонала первого уровня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29" w:hanging="29"/>
              <w:rPr>
                <w:color w:val="000000"/>
              </w:rPr>
            </w:pPr>
            <w:r>
              <w:rPr>
                <w:color w:val="000000"/>
              </w:rPr>
              <w:t xml:space="preserve">Помощник воспитателя, вожатый; секретарь учебной части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9 300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должностей </w:t>
            </w:r>
            <w:r>
              <w:rPr>
                <w:color w:val="000000"/>
              </w:rPr>
              <w:br/>
              <w:t xml:space="preserve">работников учебно-вспомогательного персонала второго уровня</w:t>
            </w:r>
            <w:r>
              <w:rPr>
                <w:color w:val="000000"/>
              </w:rPr>
            </w:r>
          </w:p>
        </w:tc>
      </w:tr>
      <w:tr>
        <w:tblPrEx/>
        <w:trPr>
          <w:trHeight w:val="828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29" w:hanging="29"/>
              <w:rPr>
                <w:color w:val="000000"/>
              </w:rPr>
            </w:pPr>
            <w:r>
              <w:rPr>
                <w:color w:val="000000"/>
              </w:rPr>
              <w:t xml:space="preserve">Младший воспитатель; Дежурный по режиму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10 480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</w:t>
            </w:r>
            <w:r>
              <w:rPr>
                <w:color w:val="000000"/>
              </w:rPr>
              <w:t xml:space="preserve">группа  должностей</w:t>
            </w:r>
            <w:r>
              <w:rPr>
                <w:color w:val="000000"/>
              </w:rPr>
              <w:t xml:space="preserve"> педагогических работников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1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Инструктор по физической культуре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14 276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29" w:hanging="29"/>
              <w:rPr>
                <w:color w:val="000000"/>
              </w:rPr>
            </w:pPr>
            <w:r>
              <w:rPr>
                <w:color w:val="000000"/>
              </w:rPr>
              <w:t xml:space="preserve">Инструктор-методист; педагог дополнительного образования; педагог-организатор; социальный педагог; тренер-преподаватель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14 645</w:t>
            </w:r>
            <w:r>
              <w:rPr>
                <w:color w:val="000000"/>
              </w:rPr>
            </w:r>
          </w:p>
        </w:tc>
      </w:tr>
      <w:tr>
        <w:tblPrEx/>
        <w:trPr>
          <w:trHeight w:val="983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29" w:hanging="29"/>
              <w:rPr>
                <w:color w:val="000000"/>
              </w:rPr>
            </w:pPr>
            <w:r>
              <w:rPr>
                <w:color w:val="000000"/>
              </w:rPr>
              <w:t xml:space="preserve">Воспитатель; мастер производственного обучения; методист; педагог-психолог; старший </w:t>
            </w:r>
            <w:bookmarkStart w:id="13" w:name="l45"/>
            <w:r/>
            <w:bookmarkEnd w:id="13"/>
            <w:r>
              <w:rPr>
                <w:color w:val="000000"/>
              </w:rPr>
              <w:t xml:space="preserve">инструктор-методист; старший педагог дополнительного образования; старший тренер-преподаватель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15 205</w:t>
            </w:r>
            <w:r>
              <w:rPr>
                <w:color w:val="000000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 квалификационный уровень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29" w:hanging="29"/>
              <w:rPr>
                <w:color w:val="000000"/>
              </w:rPr>
            </w:pPr>
            <w:r>
              <w:rPr>
                <w:color w:val="000000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методист; тьютор; учитель-логопед (логопед)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15 866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iCs/>
                <w:color w:val="000000"/>
                <w:sz w:val="28"/>
                <w:szCs w:val="28"/>
              </w:rPr>
              <w:outlineLvl w:val="1"/>
            </w:pPr>
            <w:r>
              <w:rPr>
                <w:b/>
                <w:bCs/>
                <w:iCs/>
                <w:color w:val="000000"/>
              </w:rPr>
              <w:t xml:space="preserve">МЕДИЦИНСКИХ И ФАРМАЦЕВТИЧЕСКИХ РАБОТНИКОВ</w:t>
            </w:r>
            <w:r>
              <w:rPr>
                <w:b/>
                <w:bCs/>
                <w:iCs/>
                <w:color w:val="000000"/>
                <w:sz w:val="28"/>
                <w:szCs w:val="28"/>
                <w:vertAlign w:val="superscript"/>
              </w:rPr>
              <w:footnoteReference w:id="6"/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Профессиональная квалификационная </w:t>
            </w:r>
            <w:r>
              <w:rPr>
                <w:color w:val="000000"/>
                <w:szCs w:val="20"/>
              </w:rPr>
              <w:t xml:space="preserve">группа  «</w:t>
            </w:r>
            <w:r>
              <w:rPr>
                <w:color w:val="000000"/>
                <w:szCs w:val="20"/>
              </w:rPr>
              <w:t xml:space="preserve">Медицинский и фармацевтический персонал первого уровня»</w:t>
            </w:r>
            <w:r>
              <w:rPr>
                <w:color w:val="000000"/>
                <w:szCs w:val="2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Санитарка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10 500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Сестра-хозяйка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11 320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«Средний медицинский и фармацевтический персонал»</w:t>
            </w:r>
            <w:r>
              <w:rPr>
                <w:color w:val="000000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auto"/>
            <w:tcBorders>
              <w:bottom w:val="single" w:color="auto" w:sz="4" w:space="0"/>
            </w:tcBorders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Инструктор по лечебной физкультуре; медицинский статистик; медицинский дезинфектор; медицинский регистратор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12 224</w:t>
            </w:r>
            <w:r>
              <w:rPr>
                <w:color w:val="000000"/>
              </w:rPr>
            </w:r>
          </w:p>
        </w:tc>
      </w:tr>
      <w:tr>
        <w:tblPrEx/>
        <w:trPr>
          <w:trHeight w:val="665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Врача-эпидемиолога; помощник энтомолога; лаборант; медицинская сестра диетическая; рентгенолаборант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12 827</w:t>
            </w:r>
            <w:r>
              <w:rPr>
                <w:color w:val="000000"/>
              </w:rPr>
            </w:r>
          </w:p>
        </w:tc>
      </w:tr>
      <w:tr>
        <w:tblPrEx/>
        <w:trPr>
          <w:trHeight w:val="96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Медицинская сестра; медицинская сестра по физиотерапии; медицинская сестра по </w:t>
            </w:r>
            <w:bookmarkStart w:id="14" w:name="l50"/>
            <w:r/>
            <w:bookmarkEnd w:id="14"/>
            <w:r>
              <w:rPr>
                <w:color w:val="000000"/>
                <w:spacing w:val="-2"/>
              </w:rPr>
              <w:t xml:space="preserve">массажу; фармацевт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12 961</w:t>
            </w:r>
            <w:r>
              <w:rPr>
                <w:color w:val="000000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Медицинская сестра процедурной</w:t>
            </w:r>
            <w:r>
              <w:rPr>
                <w:color w:val="000000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13 261</w:t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Старший фармацевт; старшая медицинская сестра; 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13 565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«Врачи и провизоры»</w:t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Врач-стажер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16 656</w:t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Врачи-специалисты, кроме врачей-специалистов, отнесенных к третьему и четвертому квалификационным уровням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18 975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квалификационная группа </w:t>
            </w:r>
            <w:r>
              <w:rPr>
                <w:color w:val="000000"/>
              </w:rPr>
              <w:br/>
              <w:t xml:space="preserve">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  <w:r>
              <w:rPr>
                <w:color w:val="000000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W w:w="262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квалификационный уровень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5638" w:type="dxa"/>
            <w:vAlign w:val="center"/>
            <w:textDirection w:val="lrTb"/>
            <w:noWrap w:val="false"/>
          </w:tcPr>
          <w:p>
            <w:pPr>
              <w:ind w:left="15" w:hanging="1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Заведующий структурным подразделением (отделением, кабинетом и др.); начальник структурного подразделения (отделения; кабинета и др.)</w:t>
            </w:r>
            <w:r>
              <w:rPr>
                <w:color w:val="000000"/>
                <w:spacing w:val="-2"/>
              </w:rPr>
            </w:r>
          </w:p>
        </w:tc>
        <w:tc>
          <w:tcPr>
            <w:gridSpan w:val="4"/>
            <w:shd w:val="clear" w:color="auto" w:fill="auto"/>
            <w:tcW w:w="20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22 603</w:t>
            </w:r>
            <w:r>
              <w:rPr>
                <w:color w:val="000000"/>
              </w:rPr>
            </w:r>
          </w:p>
        </w:tc>
      </w:tr>
    </w:tbl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tabs>
          <w:tab w:val="left" w:pos="5310" w:leader="none"/>
        </w:tabs>
        <w:sectPr>
          <w:headerReference w:type="default" r:id="rId9"/>
          <w:headerReference w:type="first" r:id="rId10"/>
          <w:footerReference w:type="first" r:id="rId12"/>
          <w:footnotePr>
            <w:numFmt w:val="chicago"/>
            <w:numRestart w:val="eachPage"/>
            <w:pos w:val="beneathText"/>
          </w:footnotePr>
          <w:endnotePr/>
          <w:type w:val="nextPage"/>
          <w:pgSz w:w="11906" w:h="16838" w:orient="portrait"/>
          <w:pgMar w:top="568" w:right="851" w:bottom="426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right"/>
        <w:spacing w:after="120"/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ffffff" w:fill="ffffff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</w:tc>
      </w:tr>
    </w:tbl>
    <w:p>
      <w:pPr>
        <w:pStyle w:val="813"/>
        <w:ind w:left="709"/>
        <w:jc w:val="right"/>
        <w:spacing w:before="0" w:after="0"/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vertAlign w:val="superscript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vertAlign w:val="superscript"/>
        </w:rPr>
      </w: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  <w:vertAlign w:val="superscript"/>
        </w:rPr>
      </w:r>
    </w:p>
    <w:p>
      <w:pPr>
        <w:pStyle w:val="813"/>
        <w:spacing w:before="0" w:after="0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НАДБАВКА ЗА ВЫСЛУГУ ЛЕТ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</w:r>
    </w:p>
    <w:p>
      <w:r/>
      <w:r/>
    </w:p>
    <w:p>
      <w:pPr>
        <w:ind w:firstLine="709"/>
        <w:jc w:val="both"/>
        <w:tabs>
          <w:tab w:val="left" w:pos="1089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101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5012"/>
      </w:tblGrid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выплаты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Размер в процентах к должностному окладу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Стаж работы от 1 года до 5 лет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Стаж работы от 5 до 10 лет</w:t>
            </w:r>
            <w:r/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Стаж работы от 10 до 15 лет</w:t>
            </w:r>
            <w:r/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Стаж работы свыше 15 лет</w:t>
            </w:r>
            <w:r/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</w:tbl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3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НАДБАВКА ЗА ПОЧЕТНЫЕ ЗВАНИЯ, СПОРТИВНЫЕ ЗВАНИЯ И УЧЕНЫЕ СТЕПЕНИ</w:t>
      </w:r>
      <w:r>
        <w:rPr>
          <w:rFonts w:ascii="Times New Roman" w:hAnsi="Times New Roman"/>
          <w:i w:val="0"/>
          <w:color w:val="000000"/>
          <w:sz w:val="24"/>
          <w:szCs w:val="24"/>
          <w:vertAlign w:val="superscript"/>
        </w:rPr>
      </w:r>
    </w:p>
    <w:p>
      <w:r/>
      <w:r/>
    </w:p>
    <w:p>
      <w:pPr>
        <w:ind w:firstLine="709"/>
        <w:jc w:val="both"/>
        <w:tabs>
          <w:tab w:val="left" w:pos="1089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101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751"/>
      </w:tblGrid>
      <w:tr>
        <w:tblPrEx/>
        <w:trPr/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6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выплаты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Размер в процентах к должностному окладу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65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</w:t>
            </w:r>
            <w:r>
              <w:rPr>
                <w:color w:val="000000"/>
              </w:rPr>
              <w:t xml:space="preserve"> почетные звания профессиональных работников Агинского Бурятского автономного округа, почетные звания профессиональных работников Забайкальского края, при условии соответствия почетного звания профилю учреждения, либо деятельности (специализации) работника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Звание «Заслуженный работник физической культуры», «Заслуженный тренер», «Заслуженный мастер спорта», «Заслуженный врач», «Мастер спорта международного класса», «Гроссмейстер России» и другие почетные звания СССР, Российской Федераци</w:t>
            </w:r>
            <w:r>
              <w:rPr>
                <w:color w:val="000000"/>
              </w:rPr>
              <w:t xml:space="preserve">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специализации.</w:t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  <w:t xml:space="preserve">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</w:t>
            </w:r>
            <w:r/>
          </w:p>
        </w:tc>
        <w:tc>
          <w:tcPr>
            <w:shd w:val="clear" w:color="auto" w:fill="auto"/>
            <w:tcW w:w="17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r>
              <w:t xml:space="preserve">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«Народный».</w:t>
            </w:r>
            <w:r/>
          </w:p>
          <w:p>
            <w:r>
              <w:t xml:space="preserve">Ученую степень доктора наук по профилю учреждения или деятельности, кроме научно-педагогических работников учреждений дополнительного профессионального образования</w:t>
            </w:r>
            <w:r/>
          </w:p>
        </w:tc>
        <w:tc>
          <w:tcPr>
            <w:shd w:val="clear" w:color="auto" w:fill="auto"/>
            <w:tcW w:w="17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</w:tbl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4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НАДБАВКА КВАЛИФИКАЦИЮ</w:t>
      </w:r>
      <w:r>
        <w:rPr>
          <w:rFonts w:ascii="Times New Roman" w:hAnsi="Times New Roman"/>
          <w:i w:val="0"/>
          <w:color w:val="000000"/>
          <w:sz w:val="24"/>
          <w:szCs w:val="24"/>
          <w:vertAlign w:val="superscript"/>
        </w:rPr>
      </w:r>
    </w:p>
    <w:p>
      <w:r/>
      <w:r/>
    </w:p>
    <w:p>
      <w:pPr>
        <w:ind w:firstLine="709"/>
        <w:jc w:val="both"/>
        <w:tabs>
          <w:tab w:val="left" w:pos="1089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101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5012"/>
      </w:tblGrid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выплаты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Размер в процентах к должностному окладу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Высшая квалификационная категория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r>
              <w:t xml:space="preserve">Первая квалификационная категория</w:t>
            </w:r>
            <w:r/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r>
              <w:t xml:space="preserve">Вторая квалификационная категория</w:t>
            </w:r>
            <w:r/>
          </w:p>
        </w:tc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</w:tr>
    </w:tbl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jc w:val="right"/>
        <w:spacing w:after="120"/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5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</w:tc>
      </w:tr>
    </w:tbl>
    <w:p>
      <w:pPr>
        <w:spacing w:after="120"/>
        <w:tabs>
          <w:tab w:val="left" w:pos="0" w:leader="none"/>
          <w:tab w:val="left" w:pos="1335" w:leader="none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РЕКОМЕНДУЕМЫЕ КРИТЕРИИ ОЦЕНКИ РАБОТЫ ТРЕНЕРСКОГО СОСТАВА ЗА КАЧЕСТВО ВЫПОЛНЯЕМЫХ РАБОТ</w:t>
      </w:r>
      <w:r>
        <w:rPr>
          <w:b/>
          <w:bCs/>
          <w:color w:val="000000"/>
        </w:rPr>
      </w:r>
    </w:p>
    <w:p>
      <w:pPr>
        <w:jc w:val="right"/>
        <w:tabs>
          <w:tab w:val="left" w:pos="436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101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9"/>
        <w:gridCol w:w="6007"/>
        <w:gridCol w:w="3230"/>
      </w:tblGrid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п\п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Критерии оценки работы тренерского состава за качество выполняемых работ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Рекомендуемый размер выплаты в % от оклада (должностного оклада)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Критерии оценки работы тренерского состава учреждений, осуществляющих дополнительные образовательные программы спортивной подготовки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ind w:left="7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спортивно-оздоровительном этапе и этапе начальной подготовки</w:t>
            </w:r>
            <w:r>
              <w:rPr>
                <w:b/>
                <w:i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Стабильность состава занимающихся, регулярность посещения ими тренировочных занятий (не менее 70% из числа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1.2.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прироста индивидуальных показателей физической и специальной подготовленности занимающихся (не менее чем у 80%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1.3.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занимающимися спортивных разрядов (не менее 60%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тренировочном этапе (этапе спортивной специализации)</w:t>
            </w:r>
            <w:r>
              <w:rPr>
                <w:b/>
                <w:i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1.4.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Стабильность состава занимающихся, регулярность посещения ими тренировочных занятий (не менее 80% из числа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1.5.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чем у 80%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1.6.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Результаты участия занимающихся в спортивных соревнованиях (улучшение спортивных результатов не менее чем у 80% занимающихся в группе в сравнении с предыдущим периодом)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1.7.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Передача спортсменов в УОР (за каждого спортсмена)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1.8.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Забайкальского края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1.9.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совершенствования спортивного мастерства</w:t>
            </w:r>
            <w:r>
              <w:rPr>
                <w:b/>
                <w:i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1.10.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Выполнение спортсменами индивидуальных планов спортивной подготовки (не менее 80% от принятых обязательств)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спортивных достижений, результаты выступлений на официальных региональных, </w:t>
            </w:r>
            <w:r>
              <w:rPr>
                <w:color w:val="000000"/>
              </w:rPr>
              <w:t xml:space="preserve">всероссийских и международных соревнованиях (в сравнении с предыдущим периодом не менее 80% зачисленных на этап подготовки)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1.12.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Забайкальского края (наличие)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1.13.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1.14.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Передача спортсменов в УОР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Критерии оценки работы тренерского состава СШОР, СШ (отделений спортивных школ), школ-интернатов спортивного профиля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начальной подготовки</w:t>
            </w:r>
            <w:r>
              <w:rPr>
                <w:b/>
                <w:i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Стабильность состава занимающихся, регулярность посещения ими тренировочных занятий (не менее 70% из числа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2.2.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прироста индивидуальных показателей физической и специальной подготовленности занимающихся (не менее чем у 80%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2.3.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занимающимися спортивных разрядов (не менее 60%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тренировочном этапе (этапе спортивной специализации)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2.4.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Стабильность состава занимающихся, регулярность посещения ими тренировочных занятий (не менее 70% из числа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2.5.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чем у 80% занимающихся в группе)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2.6.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Результаты участия занимающихся в спортивных соревнованиях (улучшение спортивных результатов не менее чем у 80% занимающихся в группе в сравнении с предыдущим периодом)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2.7.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Передача спортсменов в УОР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2.8.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Забайкальского края (наличие)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2.9.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совершенствования спортивного мастерства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2.10.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Выполнение спортсменами индивидуальных планов спортивной подготовки (не менее 80% от принятых обязательств)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не менее чем у 80% зачисленных на этап подготовки)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2.12.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2.13.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Передача спортсменов в УОР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высшего спортивного мастерства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2.14.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2.15.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</w:t>
            </w:r>
            <w:r>
              <w:rPr>
                <w:color w:val="000000"/>
              </w:rPr>
              <w:t xml:space="preserve">бильность выступлений спортсменов в официальных всероссийских и международных соревнованиях в составе спортивных сборных команд Забайкальского края и Российской Федерации (в сравнении с предыдущим периодом не менее чем у 80% зачисленных на этап подготовки)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Критерии оценки работы тренерского состава колледжей-интернатов, колледжей, училищ олимпийского резерва, центров спортивной подготовки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совершенствования спортивного мастерства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Выполнение спортсменами индивидуальных планов спортивной подготовки (не менее 80% от принятых обязательств)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3.2.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не менее чем у 80% зачисленных на этап подготовки)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3.3.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этапе высшего спортивного мастерства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3.4.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Включение спортсменов в составы спортивных сборных команд Российской Федерации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93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3.5.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007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</w:t>
            </w:r>
            <w:r>
              <w:rPr>
                <w:color w:val="000000"/>
              </w:rPr>
              <w:t xml:space="preserve">бильность выступлений спортсменов в официальных всероссийских и международных соревнованиях в составе спортивных сборных команд Забайкальского края и Российской Федерации (в сравнении с предыдущим периодом не менее чем у 80% зачисленных на этап подготовки)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2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36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 25</w:t>
            </w:r>
            <w:r>
              <w:rPr>
                <w:color w:val="000000"/>
              </w:rPr>
            </w:r>
          </w:p>
        </w:tc>
      </w:tr>
    </w:tbl>
    <w:p>
      <w:pPr>
        <w:jc w:val="both"/>
        <w:tabs>
          <w:tab w:val="left" w:pos="436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tabs>
          <w:tab w:val="left" w:pos="436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tabs>
          <w:tab w:val="left" w:pos="0" w:leader="none"/>
          <w:tab w:val="left" w:pos="127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tabs>
          <w:tab w:val="left" w:pos="0" w:leader="none"/>
          <w:tab w:val="left" w:pos="127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right"/>
        <w:spacing w:after="120"/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  <w:br w:type="page" w:clear="all"/>
      </w:r>
      <w:r>
        <w:rPr>
          <w:color w:val="000000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6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РЕКОМЕНДУЕМЫЕ РАЗМЕРЫ ВЫПЛАТ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СТИМУЛИРУЮЩЕГО ХАРАКТЕРА ИНЫМ СПЕЦИАЛИСТАМ, НЕПОСРЕДСТВЕННО НЕЗАДЕЙСТВОВАННЫМ В ОРГАНИЗАЦИИ, РЕАЛИЗАЦИИ ИЛИ КОНТРОЛЕ ЗА РЕАЛИЗАЦИЕЙ ДОПОЛНИТЕЛЬНЫХ ОБРАЗОВАТЕЛЬНЫХ ПРОГРАММ СПОРТИВНОЙ ПОДГОТОВКИ, НО ОБЕСПЕЧИВАЮЩИХ НЕПРЕРЫВНЫЙ ПРОЦЕСС ДЕЯТЕЛЬНОСТИ УЧРЕЖДЕНИЙ</w:t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88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выплат стимулирующего характера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 качество выполняемых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 учреждения, не связанным со спортивной подготовкой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249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6945"/>
        <w:gridCol w:w="1816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оценки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Рекомендуемый размер выплаты, %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8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Своевременное качественное выполнение работником должностных обязанностей, а также дополнительных видов работ в соответствующем периоде, в установленные сроки и графики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Оперативная, качественная подготовка и своевременная сдача отчётности; подготовка плановых и отчетных документов сотрудниками учреждения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Качественная подготовка и безусловное соблюдение сроков предоставления финансово-экономической, кадровой, контрактной документации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Качественное и оперативное выполнение особо важных работ и заданий руководителя учреждения 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Качественное проведение спортивно-массовых и физкультурно-оздоровительных мероприятий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Качественное выполнен</w:t>
            </w:r>
            <w:r>
              <w:rPr>
                <w:rFonts w:ascii="Times New Roman" w:hAnsi="Times New Roman"/>
                <w:color w:val="000000"/>
              </w:rPr>
              <w:t xml:space="preserve">ие в установленном порядке требований нормативно-правовых актов, регламентирующих производственную и административно-хозяйственную деятельность учреждения, приказов, распоряжений и указаний органов государственной власти и управления, соблюдение требований</w:t>
            </w:r>
            <w:r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нормативно-правовых актов, регулирующих сферу обеспечения государственных и муниципальных нужд</w:t>
            </w:r>
            <w:r>
              <w:rPr>
                <w:rFonts w:ascii="Times New Roman" w:hAnsi="Times New Roman"/>
                <w:color w:val="000000"/>
                <w:spacing w:val="-1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Соблюдение стандартов, применяемых в деятельности учреждения </w:t>
            </w:r>
            <w:r>
              <w:rPr>
                <w:rFonts w:ascii="Times New Roman" w:hAnsi="Times New Roman"/>
                <w:color w:val="000000"/>
                <w:spacing w:val="-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Отсутствие нарушений в введении правовой, кадровой документации, организации документооборота, ведения делопроизводства, контрактной документации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Отсутствие претензий и жалоб со стороны получателей услуг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Оперативность выполнения заявок по устранению технических неполадок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Безаварийное вождение автомобилей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Качественное исполнение обязанностей, связанных с выполнением функций по организации и проведению независимой оценки качества оказываемых услуг организациям отрасли физической культуры </w:t>
            </w:r>
            <w:r>
              <w:rPr>
                <w:rFonts w:ascii="Times New Roman" w:hAnsi="Times New Roman"/>
                <w:color w:val="000000"/>
                <w:spacing w:val="-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Качественное выполнение обязанностей, связанных с реализацией региональной системы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Качественное выполнение работ по реализации Всероссийского физкультурно-спортивного комплекса «Готов к труду и обороне» (ГТО) </w:t>
            </w:r>
            <w:r>
              <w:rPr>
                <w:rFonts w:ascii="Times New Roman" w:hAnsi="Times New Roman"/>
                <w:color w:val="000000"/>
                <w:spacing w:val="-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Качественная организация и проведение семинаров, круглых столов, конференций (различного уровня)</w:t>
            </w:r>
            <w:r>
              <w:rPr>
                <w:rFonts w:ascii="Times New Roman" w:hAnsi="Times New Roman"/>
                <w:color w:val="000000"/>
                <w:spacing w:val="-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7</w:t>
            </w:r>
            <w:r>
              <w:rPr>
                <w:color w:val="000000"/>
              </w:rPr>
            </w:r>
          </w:p>
          <w:p>
            <w:pPr>
              <w:jc w:val="center"/>
              <w:tabs>
                <w:tab w:val="left" w:pos="0" w:leader="none"/>
                <w:tab w:val="left" w:pos="133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Примерному положению об оплате труда работников государственных бюджетных и автономных учреждений физической культуры и спорта, находящихся в ведении Министерства физической культуры и спорта Забайкальского края</w:t>
            </w:r>
            <w:r>
              <w:rPr>
                <w:color w:val="000000"/>
              </w:rPr>
            </w:r>
          </w:p>
        </w:tc>
      </w:tr>
    </w:tbl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pStyle w:val="813"/>
        <w:jc w:val="center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РЕКОМЕНДУЕМЫЕ РАЗМЕРЫ ВЫПЛАТ СТИМУЛИРУЮЩЕГО ХАРАКТЕРА ЗА КАЧЕСТВО ВЫПОЛНЯЕМЫХ РАБОТ ИНЫМ СПЕЦИАЛИСТАМ, НЕПОСРЕДСТВЕННО УЧАСТВУЮЩИМ </w:t>
      </w:r>
      <w:r>
        <w:rPr>
          <w:rFonts w:ascii="Times New Roman" w:hAnsi="Times New Roman"/>
          <w:i w:val="0"/>
          <w:color w:val="000000"/>
          <w:sz w:val="24"/>
          <w:szCs w:val="24"/>
        </w:rPr>
        <w:br/>
        <w:t xml:space="preserve">В ДОПОЛНИТЕЛЬНЫХ ОБРАЗОВАТЕЛЬНЫХ ПРОГРАММАХ СПОРТИВНОЙ ПОДГОТОВКЕ</w:t>
      </w:r>
      <w:r>
        <w:rPr>
          <w:rFonts w:ascii="Times New Roman" w:hAnsi="Times New Roman"/>
          <w:i w:val="0"/>
          <w:color w:val="000000"/>
          <w:sz w:val="24"/>
          <w:szCs w:val="24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939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77"/>
      </w:tblGrid>
      <w:tr>
        <w:tblPrEx/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оценки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Рекомендуемый размер выплаты, %</w:t>
            </w:r>
            <w:r>
              <w:rPr>
                <w:color w:val="00000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Своевременность и полнота выполняемых обязанностей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качества выполняемой работы квалификационной категории и трудовым (должностным) обязанностям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участие в мероприятиях, проводимых Учреждением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положительных отзывов о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</w:t>
            </w:r>
            <w:r>
              <w:rPr>
                <w:color w:val="000000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и проведение официальных физкультурных мероприятий и спортивных мероприятий (более 10 мероприятий в год)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государственного задания Учреждением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</w:t>
            </w: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Оперативное и результативное выполнение особо важных заданий руководства;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заданий Министерства физической культуры и спорта Забайкальского края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</w:t>
            </w: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сферы деятельности и объема выполняемых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</w:t>
            </w: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Необходимость комплексного использования работником познаний и (или) навыков из нескольких областей знания или деятельности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Новизна работ или использование нового подхода к их выполнению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</w:t>
            </w: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</w:r>
          </w:p>
        </w:tc>
      </w:tr>
    </w:tbl>
    <w:p>
      <w:pPr>
        <w:pStyle w:val="988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выплат стимулирующего характера за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интенсивность и высокие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труда работникам учреждения, не связанным со спортивной подготовкой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39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77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оценки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Рекомендуемый размер выплаты, %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0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Административно-управленческий, вспомогательный персонал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Уровень, масштаб проводимого мероприятия и его значение для повышения имиджа учреждения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Уровень сложности и срочности проводимых мероприятий (работ)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Степень самостоятельности, ответственности и участия каждого работника в проводимых мероприятиях (работах)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Уровень исполнительской дисциплины работника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стр</w:t>
            </w:r>
            <w:r>
              <w:rPr>
                <w:rFonts w:ascii="Times New Roman" w:hAnsi="Times New Roman"/>
                <w:color w:val="000000"/>
              </w:rPr>
              <w:t xml:space="preserve">атегических планов развития учреждения, проектов нормативных документов в области физической культуры и спорта, продвижение продуктов и услуг, направленных на формирование положительного имиджа учреждения и увеличение дополнительных средств финансирования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Привлечение новых получателей услуг в области физической культуры и спорта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годовой отчетности о деятельности учреждения в рамках действующего законодательства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Особый режим работы, связанный с эксплуатационным, инженерным и хозяйственным обслуживанием, административным, финансово-экономическом, социальном, кадровом, бухгалтерском, конкурсным и других процессах управления учреждением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безопасности соблюдением правил охраны труда и техники безопасности, пожарной безопасности, других процессах, связанных с обеспечением основной и иной уставной деятельности учреждения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и проведение спортивно-массовых и культурных мероприятий на спортивных сооружениях учреждения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Перевозка детей на автобусе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и проведение спортивно-массовых, физкультурных мероприятий среди различных возрастных групп населения, в том числе среди лиц с ограниченными возможностями здоровья (инвалидов)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Сложность и интенсивность работ, связанных с реализацией Всероссийского физкультурно-спортивного комплекса «Готов к труду и обороне» (ГТО), проведением семинаров, круглых столов, конференций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срочных работ по внеплановым мероприятиям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выполнение обязанностей классного руководителя, куратора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заведование учебными кабинетами (лабораториями)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руководство предметными, цикловыми, методическими комиссиями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100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участие в реализации программ дополнительного образования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</w:t>
            </w:r>
            <w:r>
              <w:rPr>
                <w:color w:val="000000"/>
              </w:rPr>
            </w:r>
          </w:p>
        </w:tc>
      </w:tr>
    </w:tbl>
    <w:p>
      <w:pPr>
        <w:jc w:val="right"/>
        <w:spacing w:after="120"/>
        <w:tabs>
          <w:tab w:val="left" w:pos="0" w:leader="none"/>
          <w:tab w:val="left" w:pos="1335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92"/>
        <w:jc w:val="both"/>
      </w:pPr>
      <w:r>
        <w:rPr>
          <w:rStyle w:val="994"/>
        </w:rPr>
        <w:footnoteRef/>
      </w:r>
      <w:r>
        <w:t xml:space="preserve"> Перечень должностей работнико</w:t>
      </w:r>
      <w:r>
        <w:t xml:space="preserve">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 февраля 2012 года </w:t>
      </w:r>
      <w:r>
        <w:br/>
        <w:t xml:space="preserve">№ 165н «Об утверждении профессиональных квалификационных групп должностей работников физической культуры и спорта».</w:t>
      </w:r>
      <w:r/>
    </w:p>
  </w:footnote>
  <w:footnote w:id="3">
    <w:p>
      <w:pPr>
        <w:pStyle w:val="992"/>
        <w:jc w:val="both"/>
      </w:pPr>
      <w:r>
        <w:rPr>
          <w:rStyle w:val="994"/>
        </w:rPr>
        <w:footnoteRef/>
      </w:r>
      <w:r>
        <w:t xml:space="preserve"> Перечень общеотраслевых должно</w:t>
      </w:r>
      <w:r>
        <w:t xml:space="preserve">стей служащих установлен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  <w:r/>
    </w:p>
  </w:footnote>
  <w:footnote w:id="4">
    <w:p>
      <w:pPr>
        <w:pStyle w:val="992"/>
        <w:jc w:val="both"/>
      </w:pPr>
      <w:r>
        <w:rPr>
          <w:rStyle w:val="994"/>
        </w:rPr>
        <w:footnoteRef/>
      </w:r>
      <w:r>
        <w:t xml:space="preserve"> </w:t>
      </w:r>
      <w:hyperlink r:id="rId1" w:tooltip="consultantplus://offline/ref=F8C16292F781DD96B5D56F93A5300815FC0E0983EE05CFB98DD96BA7A6B8964B5B428F5F7748EED6R346E" w:history="1">
        <w:r>
          <w:t xml:space="preserve">Перечень</w:t>
        </w:r>
      </w:hyperlink>
      <w:r>
        <w:t xml:space="preserve"> общеотраслевых должностей служащих установлен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рабочих».</w:t>
      </w:r>
      <w:r/>
    </w:p>
  </w:footnote>
  <w:footnote w:id="5">
    <w:p>
      <w:pPr>
        <w:pStyle w:val="992"/>
        <w:jc w:val="both"/>
      </w:pPr>
      <w:r>
        <w:rPr>
          <w:rStyle w:val="994"/>
        </w:rPr>
        <w:footnoteRef/>
      </w:r>
      <w:r>
        <w:t xml:space="preserve"> Перечень общеотраслевых должностей служащих установлен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</w:t>
      </w:r>
      <w:r/>
    </w:p>
  </w:footnote>
  <w:footnote w:id="6">
    <w:p>
      <w:pPr>
        <w:pStyle w:val="992"/>
        <w:jc w:val="both"/>
      </w:pPr>
      <w:r>
        <w:rPr>
          <w:rStyle w:val="994"/>
        </w:rPr>
        <w:footnoteRef/>
      </w:r>
      <w:r>
        <w:t xml:space="preserve"> Перечень общеотрасле</w:t>
      </w:r>
      <w:r>
        <w:t xml:space="preserve">вых должностей служащих установлен приказом Министерства здравоохранения и социального развития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13</w:t>
    </w:r>
    <w:r>
      <w:fldChar w:fldCharType="end"/>
    </w:r>
    <w:r/>
  </w:p>
  <w:p>
    <w:pPr>
      <w:pStyle w:val="9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</w:pPr>
    <w:r/>
    <w:r/>
  </w:p>
  <w:p>
    <w:pPr>
      <w:pStyle w:val="9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36</w:t>
    </w:r>
    <w:r>
      <w:fldChar w:fldCharType="end"/>
    </w:r>
    <w:r/>
  </w:p>
  <w:p>
    <w:pPr>
      <w:pStyle w:val="9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" w:firstLine="709"/>
        <w:tabs>
          <w:tab w:val="num" w:pos="1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" w:firstLine="709"/>
        <w:tabs>
          <w:tab w:val="num" w:pos="1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" w:firstLine="709"/>
        <w:tabs>
          <w:tab w:val="num" w:pos="1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7"/>
  </w:num>
  <w:num w:numId="7">
    <w:abstractNumId w:val="20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14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4"/>
  </w:num>
  <w:num w:numId="19">
    <w:abstractNumId w:val="0"/>
  </w:num>
  <w:num w:numId="20">
    <w:abstractNumId w:val="2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21"/>
    <w:link w:val="833"/>
    <w:uiPriority w:val="10"/>
    <w:rPr>
      <w:sz w:val="48"/>
      <w:szCs w:val="48"/>
    </w:rPr>
  </w:style>
  <w:style w:type="character" w:styleId="39">
    <w:name w:val="Quote Char"/>
    <w:link w:val="836"/>
    <w:uiPriority w:val="29"/>
    <w:rPr>
      <w:i/>
    </w:rPr>
  </w:style>
  <w:style w:type="character" w:styleId="41">
    <w:name w:val="Intense Quote Char"/>
    <w:link w:val="838"/>
    <w:uiPriority w:val="30"/>
    <w:rPr>
      <w:i/>
    </w:rPr>
  </w:style>
  <w:style w:type="character" w:styleId="179">
    <w:name w:val="Endnote Text Char"/>
    <w:link w:val="970"/>
    <w:uiPriority w:val="99"/>
    <w:rPr>
      <w:sz w:val="20"/>
    </w:rPr>
  </w:style>
  <w:style w:type="paragraph" w:styleId="811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12">
    <w:name w:val="Heading 1"/>
    <w:basedOn w:val="811"/>
    <w:next w:val="811"/>
    <w:link w:val="985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813">
    <w:name w:val="Heading 2"/>
    <w:basedOn w:val="811"/>
    <w:next w:val="811"/>
    <w:link w:val="1013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1014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15">
    <w:name w:val="Heading 4"/>
    <w:basedOn w:val="811"/>
    <w:next w:val="811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811"/>
    <w:next w:val="811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17">
    <w:name w:val="Heading 6"/>
    <w:basedOn w:val="811"/>
    <w:next w:val="811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811"/>
    <w:next w:val="811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811"/>
    <w:next w:val="811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811"/>
    <w:next w:val="811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Heading 1 Char"/>
    <w:basedOn w:val="821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Heading 2 Char"/>
    <w:basedOn w:val="821"/>
    <w:uiPriority w:val="9"/>
    <w:rPr>
      <w:rFonts w:ascii="Arial" w:hAnsi="Arial" w:eastAsia="Arial" w:cs="Arial"/>
      <w:sz w:val="34"/>
    </w:rPr>
  </w:style>
  <w:style w:type="character" w:styleId="826" w:customStyle="1">
    <w:name w:val="Heading 3 Char"/>
    <w:basedOn w:val="821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Title"/>
    <w:basedOn w:val="811"/>
    <w:next w:val="811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4" w:customStyle="1">
    <w:name w:val="Заголовок Знак"/>
    <w:basedOn w:val="821"/>
    <w:link w:val="833"/>
    <w:uiPriority w:val="10"/>
    <w:rPr>
      <w:sz w:val="48"/>
      <w:szCs w:val="48"/>
    </w:rPr>
  </w:style>
  <w:style w:type="character" w:styleId="835" w:customStyle="1">
    <w:name w:val="Subtitle Char"/>
    <w:basedOn w:val="821"/>
    <w:uiPriority w:val="11"/>
    <w:rPr>
      <w:sz w:val="24"/>
      <w:szCs w:val="24"/>
    </w:rPr>
  </w:style>
  <w:style w:type="paragraph" w:styleId="836">
    <w:name w:val="Quote"/>
    <w:basedOn w:val="811"/>
    <w:next w:val="811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811"/>
    <w:next w:val="811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character" w:styleId="840" w:customStyle="1">
    <w:name w:val="Header Char"/>
    <w:basedOn w:val="821"/>
    <w:uiPriority w:val="99"/>
  </w:style>
  <w:style w:type="character" w:styleId="841" w:customStyle="1">
    <w:name w:val="Footer Char"/>
    <w:basedOn w:val="821"/>
    <w:uiPriority w:val="99"/>
  </w:style>
  <w:style w:type="paragraph" w:styleId="842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3" w:customStyle="1">
    <w:name w:val="Caption Char"/>
    <w:uiPriority w:val="99"/>
  </w:style>
  <w:style w:type="table" w:styleId="844" w:customStyle="1">
    <w:name w:val="Table Grid Light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5">
    <w:name w:val="Plain Table 1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8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8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1"/>
    <w:basedOn w:val="8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2"/>
    <w:basedOn w:val="8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3"/>
    <w:basedOn w:val="8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4"/>
    <w:basedOn w:val="8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5"/>
    <w:basedOn w:val="8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6"/>
    <w:basedOn w:val="8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1"/>
    <w:basedOn w:val="8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2"/>
    <w:basedOn w:val="8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3"/>
    <w:basedOn w:val="8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4"/>
    <w:basedOn w:val="8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5"/>
    <w:basedOn w:val="8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6"/>
    <w:basedOn w:val="8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1"/>
    <w:basedOn w:val="8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2"/>
    <w:basedOn w:val="8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3"/>
    <w:basedOn w:val="8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4"/>
    <w:basedOn w:val="8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5"/>
    <w:basedOn w:val="8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6"/>
    <w:basedOn w:val="8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8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 w:customStyle="1">
    <w:name w:val="Grid Table 4 - Accent 1"/>
    <w:basedOn w:val="82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3" w:customStyle="1">
    <w:name w:val="Grid Table 4 - Accent 2"/>
    <w:basedOn w:val="82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4" w:customStyle="1">
    <w:name w:val="Grid Table 4 - Accent 3"/>
    <w:basedOn w:val="82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5" w:customStyle="1">
    <w:name w:val="Grid Table 4 - Accent 4"/>
    <w:basedOn w:val="82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6" w:customStyle="1">
    <w:name w:val="Grid Table 4 - Accent 5"/>
    <w:basedOn w:val="82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7" w:customStyle="1">
    <w:name w:val="Grid Table 4 - Accent 6"/>
    <w:basedOn w:val="82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8">
    <w:name w:val="Grid Table 5 Dark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1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2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3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4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5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6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5">
    <w:name w:val="Grid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6" w:customStyle="1">
    <w:name w:val="Grid Table 6 Colorful - Accent 1"/>
    <w:basedOn w:val="82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7" w:customStyle="1">
    <w:name w:val="Grid Table 6 Colorful - Accent 2"/>
    <w:basedOn w:val="8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8" w:customStyle="1">
    <w:name w:val="Grid Table 6 Colorful - Accent 3"/>
    <w:basedOn w:val="82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9" w:customStyle="1">
    <w:name w:val="Grid Table 6 Colorful - Accent 4"/>
    <w:basedOn w:val="8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0" w:customStyle="1">
    <w:name w:val="Grid Table 6 Colorful - Accent 5"/>
    <w:basedOn w:val="82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1" w:customStyle="1">
    <w:name w:val="Grid Table 6 Colorful - Accent 6"/>
    <w:basedOn w:val="82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2">
    <w:name w:val="Grid Table 7 Colorful"/>
    <w:basedOn w:val="8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Grid Table 7 Colorful - Accent 1"/>
    <w:basedOn w:val="82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Grid Table 7 Colorful - Accent 2"/>
    <w:basedOn w:val="82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3"/>
    <w:basedOn w:val="82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Grid Table 7 Colorful - Accent 4"/>
    <w:basedOn w:val="82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 w:customStyle="1">
    <w:name w:val="Grid Table 7 Colorful - Accent 5"/>
    <w:basedOn w:val="82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Grid Table 7 Colorful - Accent 6"/>
    <w:basedOn w:val="82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>
    <w:name w:val="List Table 1 Light"/>
    <w:basedOn w:val="8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1"/>
    <w:basedOn w:val="82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2"/>
    <w:basedOn w:val="82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3"/>
    <w:basedOn w:val="82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4"/>
    <w:basedOn w:val="82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5"/>
    <w:basedOn w:val="82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6"/>
    <w:basedOn w:val="82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8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1"/>
    <w:basedOn w:val="82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2"/>
    <w:basedOn w:val="82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3"/>
    <w:basedOn w:val="82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4"/>
    <w:basedOn w:val="82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5"/>
    <w:basedOn w:val="82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6"/>
    <w:basedOn w:val="82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1"/>
    <w:basedOn w:val="82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2"/>
    <w:basedOn w:val="8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3"/>
    <w:basedOn w:val="82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4"/>
    <w:basedOn w:val="8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5"/>
    <w:basedOn w:val="82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6"/>
    <w:basedOn w:val="82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1"/>
    <w:basedOn w:val="82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2"/>
    <w:basedOn w:val="82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3"/>
    <w:basedOn w:val="82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4"/>
    <w:basedOn w:val="82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5"/>
    <w:basedOn w:val="82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6"/>
    <w:basedOn w:val="82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8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1"/>
    <w:basedOn w:val="82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2"/>
    <w:basedOn w:val="82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3"/>
    <w:basedOn w:val="82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4"/>
    <w:basedOn w:val="82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5"/>
    <w:basedOn w:val="82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6"/>
    <w:basedOn w:val="82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>
    <w:name w:val="List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5" w:customStyle="1">
    <w:name w:val="List Table 6 Colorful - Accent 1"/>
    <w:basedOn w:val="82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6" w:customStyle="1">
    <w:name w:val="List Table 6 Colorful - Accent 2"/>
    <w:basedOn w:val="82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7" w:customStyle="1">
    <w:name w:val="List Table 6 Colorful - Accent 3"/>
    <w:basedOn w:val="82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8" w:customStyle="1">
    <w:name w:val="List Table 6 Colorful - Accent 4"/>
    <w:basedOn w:val="82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9" w:customStyle="1">
    <w:name w:val="List Table 6 Colorful - Accent 5"/>
    <w:basedOn w:val="82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0" w:customStyle="1">
    <w:name w:val="List Table 6 Colorful - Accent 6"/>
    <w:basedOn w:val="82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1">
    <w:name w:val="List Table 7 Colorful"/>
    <w:basedOn w:val="8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st Table 7 Colorful - Accent 1"/>
    <w:basedOn w:val="82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List Table 7 Colorful - Accent 2"/>
    <w:basedOn w:val="82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3"/>
    <w:basedOn w:val="82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st Table 7 Colorful - Accent 4"/>
    <w:basedOn w:val="82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 w:customStyle="1">
    <w:name w:val="List Table 7 Colorful - Accent 5"/>
    <w:basedOn w:val="82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7" w:customStyle="1">
    <w:name w:val="List Table 7 Colorful - Accent 6"/>
    <w:basedOn w:val="82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8" w:customStyle="1">
    <w:name w:val="Lined - Accent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9" w:customStyle="1">
    <w:name w:val="Lined - Accent 1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0" w:customStyle="1">
    <w:name w:val="Lined - Accent 2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1" w:customStyle="1">
    <w:name w:val="Lined - Accent 3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2" w:customStyle="1">
    <w:name w:val="Lined - Accent 4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3" w:customStyle="1">
    <w:name w:val="Lined - Accent 5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4" w:customStyle="1">
    <w:name w:val="Lined - Accent 6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5" w:customStyle="1">
    <w:name w:val="Bordered &amp; Lined - Accent"/>
    <w:basedOn w:val="8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6" w:customStyle="1">
    <w:name w:val="Bordered &amp; Lined - Accent 1"/>
    <w:basedOn w:val="82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7" w:customStyle="1">
    <w:name w:val="Bordered &amp; Lined - Accent 2"/>
    <w:basedOn w:val="82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8" w:customStyle="1">
    <w:name w:val="Bordered &amp; Lined - Accent 3"/>
    <w:basedOn w:val="82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9" w:customStyle="1">
    <w:name w:val="Bordered &amp; Lined - Accent 4"/>
    <w:basedOn w:val="82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0" w:customStyle="1">
    <w:name w:val="Bordered &amp; Lined - Accent 5"/>
    <w:basedOn w:val="82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1" w:customStyle="1">
    <w:name w:val="Bordered &amp; Lined - Accent 6"/>
    <w:basedOn w:val="82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2" w:customStyle="1">
    <w:name w:val="Bordered"/>
    <w:basedOn w:val="8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3" w:customStyle="1">
    <w:name w:val="Bordered - Accent 1"/>
    <w:basedOn w:val="8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4" w:customStyle="1">
    <w:name w:val="Bordered - Accent 2"/>
    <w:basedOn w:val="8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5" w:customStyle="1">
    <w:name w:val="Bordered - Accent 3"/>
    <w:basedOn w:val="8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6" w:customStyle="1">
    <w:name w:val="Bordered - Accent 4"/>
    <w:basedOn w:val="8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7" w:customStyle="1">
    <w:name w:val="Bordered - Accent 5"/>
    <w:basedOn w:val="8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8" w:customStyle="1">
    <w:name w:val="Bordered - Accent 6"/>
    <w:basedOn w:val="8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9" w:customStyle="1">
    <w:name w:val="Footnote Text Char"/>
    <w:uiPriority w:val="99"/>
    <w:rPr>
      <w:sz w:val="18"/>
    </w:rPr>
  </w:style>
  <w:style w:type="paragraph" w:styleId="970">
    <w:name w:val="endnote text"/>
    <w:basedOn w:val="811"/>
    <w:link w:val="971"/>
    <w:uiPriority w:val="99"/>
    <w:semiHidden/>
    <w:unhideWhenUsed/>
    <w:rPr>
      <w:sz w:val="20"/>
    </w:rPr>
  </w:style>
  <w:style w:type="character" w:styleId="971" w:customStyle="1">
    <w:name w:val="Текст концевой сноски Знак"/>
    <w:link w:val="970"/>
    <w:uiPriority w:val="99"/>
    <w:rPr>
      <w:sz w:val="20"/>
    </w:rPr>
  </w:style>
  <w:style w:type="character" w:styleId="972">
    <w:name w:val="endnote reference"/>
    <w:basedOn w:val="821"/>
    <w:uiPriority w:val="99"/>
    <w:semiHidden/>
    <w:unhideWhenUsed/>
    <w:rPr>
      <w:vertAlign w:val="superscript"/>
    </w:rPr>
  </w:style>
  <w:style w:type="paragraph" w:styleId="973">
    <w:name w:val="toc 1"/>
    <w:basedOn w:val="811"/>
    <w:next w:val="811"/>
    <w:uiPriority w:val="39"/>
    <w:unhideWhenUsed/>
    <w:pPr>
      <w:spacing w:after="57"/>
    </w:pPr>
  </w:style>
  <w:style w:type="paragraph" w:styleId="974">
    <w:name w:val="toc 2"/>
    <w:basedOn w:val="811"/>
    <w:next w:val="811"/>
    <w:uiPriority w:val="39"/>
    <w:unhideWhenUsed/>
    <w:pPr>
      <w:ind w:left="283"/>
      <w:spacing w:after="57"/>
    </w:pPr>
  </w:style>
  <w:style w:type="paragraph" w:styleId="975">
    <w:name w:val="toc 3"/>
    <w:basedOn w:val="811"/>
    <w:next w:val="811"/>
    <w:uiPriority w:val="39"/>
    <w:unhideWhenUsed/>
    <w:pPr>
      <w:ind w:left="567"/>
      <w:spacing w:after="57"/>
    </w:pPr>
  </w:style>
  <w:style w:type="paragraph" w:styleId="976">
    <w:name w:val="toc 4"/>
    <w:basedOn w:val="811"/>
    <w:next w:val="811"/>
    <w:uiPriority w:val="39"/>
    <w:unhideWhenUsed/>
    <w:pPr>
      <w:ind w:left="850"/>
      <w:spacing w:after="57"/>
    </w:pPr>
  </w:style>
  <w:style w:type="paragraph" w:styleId="977">
    <w:name w:val="toc 5"/>
    <w:basedOn w:val="811"/>
    <w:next w:val="811"/>
    <w:uiPriority w:val="39"/>
    <w:unhideWhenUsed/>
    <w:pPr>
      <w:ind w:left="1134"/>
      <w:spacing w:after="57"/>
    </w:pPr>
  </w:style>
  <w:style w:type="paragraph" w:styleId="978">
    <w:name w:val="toc 6"/>
    <w:basedOn w:val="811"/>
    <w:next w:val="811"/>
    <w:uiPriority w:val="39"/>
    <w:unhideWhenUsed/>
    <w:pPr>
      <w:ind w:left="1417"/>
      <w:spacing w:after="57"/>
    </w:pPr>
  </w:style>
  <w:style w:type="paragraph" w:styleId="979">
    <w:name w:val="toc 7"/>
    <w:basedOn w:val="811"/>
    <w:next w:val="811"/>
    <w:uiPriority w:val="39"/>
    <w:unhideWhenUsed/>
    <w:pPr>
      <w:ind w:left="1701"/>
      <w:spacing w:after="57"/>
    </w:pPr>
  </w:style>
  <w:style w:type="paragraph" w:styleId="980">
    <w:name w:val="toc 8"/>
    <w:basedOn w:val="811"/>
    <w:next w:val="811"/>
    <w:uiPriority w:val="39"/>
    <w:unhideWhenUsed/>
    <w:pPr>
      <w:ind w:left="1984"/>
      <w:spacing w:after="57"/>
    </w:pPr>
  </w:style>
  <w:style w:type="paragraph" w:styleId="981">
    <w:name w:val="toc 9"/>
    <w:basedOn w:val="811"/>
    <w:next w:val="811"/>
    <w:uiPriority w:val="39"/>
    <w:unhideWhenUsed/>
    <w:pPr>
      <w:ind w:left="2268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811"/>
    <w:next w:val="811"/>
    <w:uiPriority w:val="99"/>
    <w:unhideWhenUsed/>
  </w:style>
  <w:style w:type="paragraph" w:styleId="984">
    <w:name w:val="Normal (Web)"/>
    <w:basedOn w:val="811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985" w:customStyle="1">
    <w:name w:val="Заголовок 1 Знак"/>
    <w:link w:val="812"/>
    <w:uiPriority w:val="99"/>
    <w:rPr>
      <w:rFonts w:ascii="Arial" w:hAnsi="Arial" w:eastAsia="Times New Roman" w:cs="Times New Roman"/>
      <w:b/>
      <w:bCs/>
      <w:color w:val="26282f"/>
      <w:sz w:val="26"/>
      <w:szCs w:val="26"/>
    </w:rPr>
  </w:style>
  <w:style w:type="character" w:styleId="986">
    <w:name w:val="Strong"/>
    <w:qFormat/>
    <w:rPr>
      <w:b/>
      <w:bCs/>
    </w:rPr>
  </w:style>
  <w:style w:type="table" w:styleId="987">
    <w:name w:val="Table Grid"/>
    <w:basedOn w:val="822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8" w:customStyle="1">
    <w:name w:val="ConsPlusNormal"/>
    <w:uiPriority w:val="99"/>
    <w:pPr>
      <w:ind w:firstLine="720"/>
      <w:widowControl w:val="off"/>
    </w:pPr>
    <w:rPr>
      <w:rFonts w:ascii="Arial" w:hAnsi="Arial" w:eastAsia="Times New Roman" w:cs="Arial"/>
    </w:rPr>
  </w:style>
  <w:style w:type="paragraph" w:styleId="989">
    <w:name w:val="Header"/>
    <w:basedOn w:val="811"/>
    <w:link w:val="990"/>
    <w:uiPriority w:val="99"/>
    <w:pPr>
      <w:tabs>
        <w:tab w:val="center" w:pos="4677" w:leader="none"/>
        <w:tab w:val="right" w:pos="9355" w:leader="none"/>
      </w:tabs>
    </w:pPr>
  </w:style>
  <w:style w:type="character" w:styleId="990" w:customStyle="1">
    <w:name w:val="Верхний колонтитул Знак"/>
    <w:link w:val="98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91">
    <w:name w:val="page number"/>
    <w:basedOn w:val="821"/>
  </w:style>
  <w:style w:type="paragraph" w:styleId="992">
    <w:name w:val="footnote text"/>
    <w:basedOn w:val="811"/>
    <w:link w:val="993"/>
    <w:uiPriority w:val="99"/>
    <w:semiHidden/>
    <w:rPr>
      <w:sz w:val="20"/>
      <w:szCs w:val="20"/>
    </w:rPr>
  </w:style>
  <w:style w:type="character" w:styleId="993" w:customStyle="1">
    <w:name w:val="Текст сноски Знак"/>
    <w:link w:val="9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4">
    <w:name w:val="footnote reference"/>
    <w:uiPriority w:val="99"/>
    <w:semiHidden/>
    <w:rPr>
      <w:vertAlign w:val="superscript"/>
    </w:rPr>
  </w:style>
  <w:style w:type="paragraph" w:styleId="995">
    <w:name w:val="Balloon Text"/>
    <w:basedOn w:val="811"/>
    <w:link w:val="996"/>
    <w:rPr>
      <w:rFonts w:ascii="Tahoma" w:hAnsi="Tahoma"/>
      <w:sz w:val="16"/>
      <w:szCs w:val="16"/>
    </w:rPr>
  </w:style>
  <w:style w:type="character" w:styleId="996" w:customStyle="1">
    <w:name w:val="Текст выноски Знак"/>
    <w:link w:val="995"/>
    <w:rPr>
      <w:rFonts w:ascii="Tahoma" w:hAnsi="Tahoma" w:eastAsia="Times New Roman" w:cs="Times New Roman"/>
      <w:sz w:val="16"/>
      <w:szCs w:val="16"/>
    </w:rPr>
  </w:style>
  <w:style w:type="paragraph" w:styleId="997">
    <w:name w:val="Footer"/>
    <w:basedOn w:val="811"/>
    <w:link w:val="998"/>
    <w:uiPriority w:val="99"/>
    <w:pPr>
      <w:tabs>
        <w:tab w:val="center" w:pos="4677" w:leader="none"/>
        <w:tab w:val="right" w:pos="9355" w:leader="none"/>
      </w:tabs>
    </w:pPr>
  </w:style>
  <w:style w:type="character" w:styleId="998" w:customStyle="1">
    <w:name w:val="Нижний колонтитул Знак"/>
    <w:link w:val="997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99" w:customStyle="1">
    <w:name w:val="apple-converted-space"/>
    <w:basedOn w:val="821"/>
  </w:style>
  <w:style w:type="character" w:styleId="1000">
    <w:name w:val="Hyperlink"/>
    <w:uiPriority w:val="99"/>
    <w:unhideWhenUsed/>
    <w:rPr>
      <w:color w:val="0000ff"/>
      <w:u w:val="single"/>
    </w:rPr>
  </w:style>
  <w:style w:type="paragraph" w:styleId="1001" w:customStyle="1">
    <w:name w:val="Нормальный (таблица)"/>
    <w:basedOn w:val="811"/>
    <w:next w:val="811"/>
    <w:uiPriority w:val="99"/>
    <w:pPr>
      <w:jc w:val="both"/>
      <w:widowControl w:val="off"/>
    </w:pPr>
    <w:rPr>
      <w:rFonts w:ascii="Arial" w:hAnsi="Arial" w:cs="Arial"/>
      <w:sz w:val="26"/>
      <w:szCs w:val="26"/>
    </w:rPr>
  </w:style>
  <w:style w:type="paragraph" w:styleId="1002" w:customStyle="1">
    <w:name w:val="Прижатый влево"/>
    <w:basedOn w:val="811"/>
    <w:next w:val="811"/>
    <w:uiPriority w:val="99"/>
    <w:pPr>
      <w:widowControl w:val="off"/>
    </w:pPr>
    <w:rPr>
      <w:rFonts w:ascii="Arial" w:hAnsi="Arial" w:cs="Arial"/>
      <w:sz w:val="26"/>
      <w:szCs w:val="26"/>
    </w:rPr>
  </w:style>
  <w:style w:type="paragraph" w:styleId="1003" w:customStyle="1">
    <w:name w:val="ConsPlusDocList"/>
    <w:pPr>
      <w:widowControl w:val="off"/>
    </w:pPr>
    <w:rPr>
      <w:rFonts w:ascii="Courier New" w:hAnsi="Courier New" w:eastAsia="Times New Roman" w:cs="Courier New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1005" w:customStyle="1">
    <w:name w:val="Знак Знак Знак1"/>
    <w:basedOn w:val="811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0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1007" w:customStyle="1">
    <w:name w:val="Абзац списка1"/>
    <w:basedOn w:val="811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08">
    <w:name w:val="Subtitle"/>
    <w:basedOn w:val="811"/>
    <w:next w:val="811"/>
    <w:link w:val="1009"/>
    <w:qFormat/>
    <w:pPr>
      <w:jc w:val="center"/>
      <w:spacing w:after="60"/>
      <w:outlineLvl w:val="1"/>
    </w:pPr>
    <w:rPr>
      <w:rFonts w:ascii="Cambria" w:hAnsi="Cambria"/>
    </w:rPr>
  </w:style>
  <w:style w:type="character" w:styleId="1009" w:customStyle="1">
    <w:name w:val="Подзаголовок Знак"/>
    <w:link w:val="1008"/>
    <w:rPr>
      <w:rFonts w:ascii="Cambria" w:hAnsi="Cambria" w:eastAsia="Times New Roman" w:cs="Times New Roman"/>
      <w:sz w:val="24"/>
      <w:szCs w:val="24"/>
      <w:lang w:eastAsia="ru-RU"/>
    </w:rPr>
  </w:style>
  <w:style w:type="paragraph" w:styleId="1010" w:customStyle="1">
    <w:name w:val="Знак Знак Знак"/>
    <w:basedOn w:val="811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11" w:customStyle="1">
    <w:name w:val="Абзац списка2"/>
    <w:basedOn w:val="811"/>
    <w:pPr>
      <w:contextualSpacing/>
      <w:ind w:left="720"/>
    </w:pPr>
    <w:rPr>
      <w:rFonts w:eastAsia="Calibri"/>
    </w:rPr>
  </w:style>
  <w:style w:type="paragraph" w:styleId="1012">
    <w:name w:val="List Paragraph"/>
    <w:basedOn w:val="811"/>
    <w:uiPriority w:val="34"/>
    <w:qFormat/>
    <w:pPr>
      <w:contextualSpacing/>
      <w:ind w:left="720"/>
    </w:pPr>
    <w:rPr>
      <w:rFonts w:eastAsia="Calibri"/>
      <w:sz w:val="28"/>
    </w:rPr>
  </w:style>
  <w:style w:type="character" w:styleId="1013" w:customStyle="1">
    <w:name w:val="Заголовок 2 Знак"/>
    <w:link w:val="813"/>
    <w:uiPriority w:val="9"/>
    <w:rPr>
      <w:rFonts w:ascii="Calibri Light" w:hAnsi="Calibri Light" w:eastAsia="Times New Roman"/>
      <w:b/>
      <w:bCs/>
      <w:i/>
      <w:iCs/>
      <w:sz w:val="28"/>
      <w:szCs w:val="28"/>
    </w:rPr>
  </w:style>
  <w:style w:type="character" w:styleId="1014" w:customStyle="1">
    <w:name w:val="Заголовок 3 Знак"/>
    <w:link w:val="814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1015" w:customStyle="1">
    <w:name w:val="ConsNormal"/>
    <w:uiPriority w:val="99"/>
    <w:pPr>
      <w:ind w:right="19772" w:firstLine="720"/>
      <w:widowControl w:val="off"/>
    </w:pPr>
    <w:rPr>
      <w:rFonts w:ascii="Arial" w:hAnsi="Arial" w:eastAsia="Times New Roman" w:cs="Arial"/>
      <w:sz w:val="16"/>
      <w:szCs w:val="16"/>
    </w:rPr>
  </w:style>
  <w:style w:type="character" w:styleId="101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1017">
    <w:name w:val="annotation text"/>
    <w:basedOn w:val="811"/>
    <w:link w:val="1018"/>
    <w:uiPriority w:val="99"/>
    <w:semiHidden/>
    <w:unhideWhenUsed/>
    <w:rPr>
      <w:sz w:val="20"/>
      <w:szCs w:val="20"/>
    </w:rPr>
  </w:style>
  <w:style w:type="character" w:styleId="1018" w:customStyle="1">
    <w:name w:val="Текст примечания Знак"/>
    <w:link w:val="1017"/>
    <w:uiPriority w:val="99"/>
    <w:semiHidden/>
    <w:rPr>
      <w:rFonts w:ascii="Times New Roman" w:hAnsi="Times New Roman" w:eastAsia="Times New Roman"/>
    </w:rPr>
  </w:style>
  <w:style w:type="paragraph" w:styleId="1019" w:customStyle="1">
    <w:name w:val="ConsPlusNonformat"/>
    <w:pPr>
      <w:widowControl w:val="off"/>
    </w:pPr>
    <w:rPr>
      <w:rFonts w:ascii="Courier New" w:hAnsi="Courier New" w:eastAsia="Times New Roman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consultantplus://offline/ref=6034F14E842E635CB40E9FB27563258BA144870D38C19E6D1FB30DBF72UFw4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consultantplus://offline/ref=F8C16292F781DD96B5D56F93A5300815FC0E0983EE05CFB98DD96BA7A6B8964B5B428F5F7748EED6R346E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515A-3257-4C95-8571-27D44C4C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cp:revision>474</cp:revision>
  <dcterms:created xsi:type="dcterms:W3CDTF">2018-12-13T00:50:00Z</dcterms:created>
  <dcterms:modified xsi:type="dcterms:W3CDTF">2025-07-09T01:01:46Z</dcterms:modified>
</cp:coreProperties>
</file>