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C5" w:rsidRPr="006B55E4" w:rsidRDefault="00BA14C5" w:rsidP="00BA14C5">
      <w:pPr>
        <w:pStyle w:val="ConsPlusNormal"/>
        <w:ind w:firstLine="709"/>
        <w:jc w:val="right"/>
        <w:rPr>
          <w:sz w:val="24"/>
          <w:szCs w:val="24"/>
        </w:rPr>
      </w:pPr>
      <w:r w:rsidRPr="006B55E4">
        <w:rPr>
          <w:sz w:val="24"/>
          <w:szCs w:val="24"/>
        </w:rPr>
        <w:t>Приложение 5</w:t>
      </w:r>
    </w:p>
    <w:p w:rsidR="00BA14C5" w:rsidRPr="00B03D47" w:rsidRDefault="00BA14C5" w:rsidP="00BA14C5">
      <w:pPr>
        <w:pStyle w:val="ConsPlusNormal"/>
        <w:ind w:firstLine="709"/>
        <w:jc w:val="both"/>
      </w:pPr>
    </w:p>
    <w:p w:rsidR="00BA14C5" w:rsidRDefault="00BA14C5" w:rsidP="00BA14C5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07D7">
        <w:rPr>
          <w:rFonts w:ascii="Times New Roman" w:hAnsi="Times New Roman" w:cs="Times New Roman"/>
          <w:b/>
          <w:color w:val="auto"/>
          <w:sz w:val="28"/>
          <w:szCs w:val="28"/>
        </w:rPr>
        <w:t>Отчет о реализации Плана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программы</w:t>
      </w:r>
    </w:p>
    <w:p w:rsidR="00BA14C5" w:rsidRPr="00B03D47" w:rsidRDefault="00BA14C5" w:rsidP="00BA14C5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Забайкальского края</w:t>
      </w:r>
      <w:r w:rsidR="006B55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55E4" w:rsidRPr="006B55E4">
        <w:rPr>
          <w:rFonts w:ascii="Times New Roman" w:hAnsi="Times New Roman" w:cs="Times New Roman"/>
          <w:b/>
          <w:color w:val="auto"/>
          <w:sz w:val="28"/>
          <w:szCs w:val="28"/>
        </w:rPr>
        <w:t>«Развитие физической культуры и спорта в Забайкальском крае»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 20</w:t>
      </w:r>
      <w:r w:rsidR="006B55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19 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>год.</w:t>
      </w:r>
    </w:p>
    <w:p w:rsidR="00BA14C5" w:rsidRPr="006B55E4" w:rsidRDefault="006B55E4" w:rsidP="00BA14C5">
      <w:pPr>
        <w:pStyle w:val="ConsPlusNormal"/>
        <w:ind w:firstLine="709"/>
        <w:jc w:val="center"/>
        <w:rPr>
          <w:u w:val="single"/>
          <w:lang w:bidi="ru-RU"/>
        </w:rPr>
      </w:pPr>
      <w:r w:rsidRPr="006B55E4">
        <w:rPr>
          <w:u w:val="single"/>
          <w:lang w:bidi="ru-RU"/>
        </w:rPr>
        <w:t>Министерство физической культуры и спорта Забайкальского края</w:t>
      </w:r>
    </w:p>
    <w:p w:rsidR="00BA14C5" w:rsidRPr="00B03D47" w:rsidRDefault="00BA14C5" w:rsidP="00BA14C5">
      <w:pPr>
        <w:pStyle w:val="ConsPlusNormal"/>
        <w:ind w:firstLine="709"/>
        <w:jc w:val="both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34"/>
        <w:gridCol w:w="2960"/>
        <w:gridCol w:w="1984"/>
        <w:gridCol w:w="1772"/>
        <w:gridCol w:w="3190"/>
        <w:gridCol w:w="4536"/>
      </w:tblGrid>
      <w:tr w:rsidR="00BA14C5" w:rsidRPr="00B03D47" w:rsidTr="00AC58C0">
        <w:trPr>
          <w:trHeight w:val="276"/>
          <w:tblHeader/>
        </w:trPr>
        <w:tc>
          <w:tcPr>
            <w:tcW w:w="834" w:type="dxa"/>
            <w:vMerge w:val="restart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№</w:t>
            </w:r>
          </w:p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60" w:type="dxa"/>
            <w:vMerge w:val="restart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Наименование подпрограммы, основного мероприятия, ведомственной целевой программы, контрольного события </w:t>
            </w:r>
          </w:p>
        </w:tc>
        <w:tc>
          <w:tcPr>
            <w:tcW w:w="1984" w:type="dxa"/>
            <w:vMerge w:val="restart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72" w:type="dxa"/>
            <w:vMerge w:val="restart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Статус контрольного события</w:t>
            </w:r>
          </w:p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(выполнено / не выполнено)</w:t>
            </w:r>
          </w:p>
        </w:tc>
        <w:tc>
          <w:tcPr>
            <w:tcW w:w="3190" w:type="dxa"/>
            <w:vMerge w:val="restart"/>
            <w:vAlign w:val="center"/>
          </w:tcPr>
          <w:p w:rsidR="00BA14C5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Результат реализации </w:t>
            </w:r>
          </w:p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4536" w:type="dxa"/>
            <w:vMerge w:val="restart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Причины не выполнения, предложения по реализации мероприятия</w:t>
            </w:r>
          </w:p>
        </w:tc>
      </w:tr>
      <w:tr w:rsidR="00BA14C5" w:rsidRPr="00B03D47" w:rsidTr="00AC58C0">
        <w:trPr>
          <w:trHeight w:val="276"/>
          <w:tblHeader/>
        </w:trPr>
        <w:tc>
          <w:tcPr>
            <w:tcW w:w="834" w:type="dxa"/>
            <w:vMerge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BA14C5" w:rsidRPr="00B03D47" w:rsidTr="00AC58C0">
        <w:trPr>
          <w:tblHeader/>
        </w:trPr>
        <w:tc>
          <w:tcPr>
            <w:tcW w:w="834" w:type="dxa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</w:tr>
      <w:tr w:rsidR="006B55E4" w:rsidRPr="00B03D47" w:rsidTr="00773A7C">
        <w:tc>
          <w:tcPr>
            <w:tcW w:w="834" w:type="dxa"/>
          </w:tcPr>
          <w:p w:rsidR="006B55E4" w:rsidRPr="00B03D47" w:rsidRDefault="006B55E4" w:rsidP="006B55E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0" w:type="dxa"/>
          </w:tcPr>
          <w:p w:rsidR="006B55E4" w:rsidRPr="00213C51" w:rsidRDefault="006B55E4" w:rsidP="006B55E4">
            <w:pPr>
              <w:rPr>
                <w:rFonts w:ascii="Times New Roman" w:hAnsi="Times New Roman" w:cs="Times New Roman"/>
                <w:b/>
              </w:rPr>
            </w:pPr>
            <w:r w:rsidRPr="00213C51">
              <w:rPr>
                <w:rFonts w:ascii="Times New Roman" w:hAnsi="Times New Roman" w:cs="Times New Roman"/>
                <w:b/>
              </w:rPr>
              <w:t>Подпрограмма «Развитие массового спорта в Забайкальском крае»</w:t>
            </w:r>
          </w:p>
        </w:tc>
        <w:tc>
          <w:tcPr>
            <w:tcW w:w="1984" w:type="dxa"/>
            <w:vAlign w:val="center"/>
          </w:tcPr>
          <w:p w:rsidR="006B55E4" w:rsidRPr="00B3579F" w:rsidRDefault="006B55E4" w:rsidP="006B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Серёдкин А.К. – начальник отдела развития </w:t>
            </w:r>
            <w:r>
              <w:rPr>
                <w:rFonts w:ascii="Times New Roman" w:hAnsi="Times New Roman" w:cs="Times New Roman"/>
              </w:rPr>
              <w:t>физической культуры и массового спорта</w:t>
            </w:r>
          </w:p>
        </w:tc>
        <w:tc>
          <w:tcPr>
            <w:tcW w:w="1772" w:type="dxa"/>
          </w:tcPr>
          <w:p w:rsidR="006B55E4" w:rsidRPr="00B03D47" w:rsidRDefault="006B55E4" w:rsidP="006B55E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B55E4" w:rsidRPr="00B03D47" w:rsidRDefault="006B55E4" w:rsidP="006B55E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B55E4" w:rsidRPr="00B03D47" w:rsidRDefault="006B55E4" w:rsidP="006B55E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6B55E4" w:rsidRPr="00B03D47" w:rsidTr="00773A7C">
        <w:tc>
          <w:tcPr>
            <w:tcW w:w="834" w:type="dxa"/>
          </w:tcPr>
          <w:p w:rsidR="006B55E4" w:rsidRPr="00B03D47" w:rsidRDefault="006B55E4" w:rsidP="006B55E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960" w:type="dxa"/>
            <w:vAlign w:val="center"/>
          </w:tcPr>
          <w:p w:rsidR="006B55E4" w:rsidRPr="00B3579F" w:rsidRDefault="006B55E4" w:rsidP="006B55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подпрограммы: «</w:t>
            </w:r>
            <w:r w:rsidRPr="001665E6">
              <w:rPr>
                <w:rFonts w:ascii="Times New Roman" w:hAnsi="Times New Roman" w:cs="Times New Roman"/>
              </w:rPr>
              <w:t>Физическое воспитание и обеспечение организации и проведения физку</w:t>
            </w:r>
            <w:r>
              <w:rPr>
                <w:rFonts w:ascii="Times New Roman" w:hAnsi="Times New Roman" w:cs="Times New Roman"/>
              </w:rPr>
              <w:t xml:space="preserve">льтурных и массовых спортивных </w:t>
            </w:r>
            <w:r w:rsidRPr="001665E6">
              <w:rPr>
                <w:rFonts w:ascii="Times New Roman" w:hAnsi="Times New Roman" w:cs="Times New Roman"/>
              </w:rPr>
              <w:t>мероприятий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6B55E4" w:rsidRPr="00B3579F" w:rsidRDefault="006B55E4" w:rsidP="006B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Хоботов В.А. – консультант отдела развития физической культуры и массового спорта</w:t>
            </w:r>
          </w:p>
        </w:tc>
        <w:tc>
          <w:tcPr>
            <w:tcW w:w="1772" w:type="dxa"/>
          </w:tcPr>
          <w:p w:rsidR="006B55E4" w:rsidRPr="00B03D47" w:rsidRDefault="006B55E4" w:rsidP="006B55E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6B55E4" w:rsidRPr="00B03D47" w:rsidRDefault="006B55E4" w:rsidP="006B55E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B55E4" w:rsidRPr="00B03D47" w:rsidRDefault="006B55E4" w:rsidP="006B55E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A6DD1" w:rsidRPr="00B03D47" w:rsidTr="00773A7C">
        <w:tc>
          <w:tcPr>
            <w:tcW w:w="834" w:type="dxa"/>
          </w:tcPr>
          <w:p w:rsidR="00FA6DD1" w:rsidRPr="00B03D47" w:rsidRDefault="00FA6DD1" w:rsidP="00FA6D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2960" w:type="dxa"/>
            <w:vAlign w:val="center"/>
          </w:tcPr>
          <w:p w:rsidR="00FA6DD1" w:rsidRDefault="00FA6DD1" w:rsidP="00FA6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1: «</w:t>
            </w:r>
            <w:r w:rsidRPr="001665E6">
              <w:rPr>
                <w:rFonts w:ascii="Times New Roman" w:hAnsi="Times New Roman" w:cs="Times New Roman"/>
              </w:rPr>
              <w:t xml:space="preserve">Количество организованных и проведенных </w:t>
            </w:r>
            <w:r w:rsidRPr="001665E6">
              <w:rPr>
                <w:rFonts w:ascii="Times New Roman" w:hAnsi="Times New Roman" w:cs="Times New Roman"/>
              </w:rPr>
              <w:lastRenderedPageBreak/>
              <w:t>физкультурных мероприятий и массовых спортивных мероприятий в Забайкальском крае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FA6DD1" w:rsidRPr="00B3579F" w:rsidRDefault="00FA6DD1" w:rsidP="00FA6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Хоботов В.А. – консультант отдела развития физической </w:t>
            </w:r>
            <w:r>
              <w:rPr>
                <w:rFonts w:ascii="Times New Roman" w:hAnsi="Times New Roman" w:cs="Times New Roman"/>
              </w:rPr>
              <w:lastRenderedPageBreak/>
              <w:t>культуры и массового спорта</w:t>
            </w:r>
          </w:p>
        </w:tc>
        <w:tc>
          <w:tcPr>
            <w:tcW w:w="1772" w:type="dxa"/>
          </w:tcPr>
          <w:p w:rsidR="00FA6DD1" w:rsidRPr="00B03D47" w:rsidRDefault="00FA6DD1" w:rsidP="00FA6D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3190" w:type="dxa"/>
          </w:tcPr>
          <w:p w:rsidR="00FA6DD1" w:rsidRDefault="00FA6DD1" w:rsidP="00FA6DD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="00BD726B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физкультурных мероприятий, среди них:</w:t>
            </w:r>
          </w:p>
          <w:p w:rsidR="00FA6DD1" w:rsidRPr="00B03D47" w:rsidRDefault="00FA6DD1" w:rsidP="008063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</w:t>
            </w:r>
            <w:r w:rsidRPr="00AC58C0">
              <w:rPr>
                <w:sz w:val="24"/>
                <w:szCs w:val="24"/>
              </w:rPr>
              <w:t>ентральный старт открытой Всероссийской массовой лыжной гонк</w:t>
            </w:r>
            <w:r>
              <w:rPr>
                <w:sz w:val="24"/>
                <w:szCs w:val="24"/>
              </w:rPr>
              <w:t xml:space="preserve">и «Лыжня России», </w:t>
            </w:r>
            <w:r w:rsidRPr="00AC58C0">
              <w:rPr>
                <w:sz w:val="24"/>
                <w:szCs w:val="24"/>
              </w:rPr>
              <w:t>центральный старт Всероссийских массовых соревнований по конькобежному спорту «Лед надежды нашей»</w:t>
            </w:r>
            <w:r>
              <w:rPr>
                <w:sz w:val="24"/>
                <w:szCs w:val="24"/>
              </w:rPr>
              <w:t>,</w:t>
            </w:r>
            <w:r w:rsidRPr="00AC58C0">
              <w:rPr>
                <w:sz w:val="24"/>
                <w:szCs w:val="24"/>
              </w:rPr>
              <w:t xml:space="preserve"> XII Спартакиада молодежи допризывного возраста, </w:t>
            </w:r>
            <w:r>
              <w:rPr>
                <w:sz w:val="24"/>
                <w:szCs w:val="24"/>
              </w:rPr>
              <w:t>с</w:t>
            </w:r>
            <w:r w:rsidRPr="00AC58C0">
              <w:rPr>
                <w:sz w:val="24"/>
                <w:szCs w:val="24"/>
              </w:rPr>
              <w:t>партакиада п</w:t>
            </w:r>
            <w:r>
              <w:rPr>
                <w:sz w:val="24"/>
                <w:szCs w:val="24"/>
              </w:rPr>
              <w:t xml:space="preserve">енсионеров Забайкальского края, </w:t>
            </w:r>
            <w:r w:rsidRPr="00AC58C0">
              <w:rPr>
                <w:sz w:val="24"/>
                <w:szCs w:val="24"/>
              </w:rPr>
              <w:t>XXX Всероссийский Олимпийский день</w:t>
            </w:r>
            <w:r>
              <w:rPr>
                <w:sz w:val="24"/>
                <w:szCs w:val="24"/>
              </w:rPr>
              <w:t>,</w:t>
            </w:r>
            <w:r w:rsidRPr="00AC5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C58C0">
              <w:rPr>
                <w:sz w:val="24"/>
                <w:szCs w:val="24"/>
              </w:rPr>
              <w:t>лет казачьей молодежи</w:t>
            </w:r>
            <w:r w:rsidR="00BD726B">
              <w:rPr>
                <w:sz w:val="24"/>
                <w:szCs w:val="24"/>
              </w:rPr>
              <w:t>, Спартакиада «Забайкальские игры», «Кросс наций», «День самбо», «Всероссийский день ходьбы», «Единый день ГТО»</w:t>
            </w:r>
            <w:r w:rsidRPr="00AC58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др.</w:t>
            </w:r>
          </w:p>
        </w:tc>
        <w:tc>
          <w:tcPr>
            <w:tcW w:w="4536" w:type="dxa"/>
          </w:tcPr>
          <w:p w:rsidR="00FA6DD1" w:rsidRPr="00B03D47" w:rsidRDefault="00FA6DD1" w:rsidP="00FA6DD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D726B" w:rsidRPr="00B03D47" w:rsidTr="00773A7C">
        <w:tc>
          <w:tcPr>
            <w:tcW w:w="834" w:type="dxa"/>
          </w:tcPr>
          <w:p w:rsidR="00BD726B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2960" w:type="dxa"/>
            <w:vAlign w:val="center"/>
          </w:tcPr>
          <w:p w:rsidR="00BD726B" w:rsidRDefault="00BD726B" w:rsidP="00BD726B">
            <w:r w:rsidRPr="008710E7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2: «</w:t>
            </w:r>
            <w:r w:rsidRPr="00B249FA">
              <w:rPr>
                <w:rFonts w:ascii="Times New Roman" w:hAnsi="Times New Roman" w:cs="Times New Roman"/>
              </w:rPr>
              <w:t>Доля населения, выполнившего норм</w:t>
            </w:r>
            <w:r>
              <w:rPr>
                <w:rFonts w:ascii="Times New Roman" w:hAnsi="Times New Roman" w:cs="Times New Roman"/>
              </w:rPr>
              <w:t>ативы испытаний (тестов)  ВФСК «</w:t>
            </w:r>
            <w:r w:rsidRPr="00B249FA">
              <w:rPr>
                <w:rFonts w:ascii="Times New Roman" w:hAnsi="Times New Roman" w:cs="Times New Roman"/>
              </w:rPr>
              <w:t xml:space="preserve">Готов к труду и </w:t>
            </w:r>
            <w:r w:rsidRPr="00B249FA">
              <w:rPr>
                <w:rFonts w:ascii="Times New Roman" w:hAnsi="Times New Roman" w:cs="Times New Roman"/>
              </w:rPr>
              <w:lastRenderedPageBreak/>
              <w:t>обороне</w:t>
            </w:r>
            <w:r>
              <w:rPr>
                <w:rFonts w:ascii="Times New Roman" w:hAnsi="Times New Roman" w:cs="Times New Roman"/>
              </w:rPr>
              <w:t>»</w:t>
            </w:r>
            <w:r w:rsidRPr="00B249FA">
              <w:rPr>
                <w:rFonts w:ascii="Times New Roman" w:hAnsi="Times New Roman" w:cs="Times New Roman"/>
              </w:rPr>
              <w:t xml:space="preserve"> (ГТО), в общей численности населения, принявшего участие в выполнении норм</w:t>
            </w:r>
            <w:r>
              <w:rPr>
                <w:rFonts w:ascii="Times New Roman" w:hAnsi="Times New Roman" w:cs="Times New Roman"/>
              </w:rPr>
              <w:t>ативов испытаний (тестов) ВФСК «</w:t>
            </w:r>
            <w:r w:rsidRPr="00B249FA">
              <w:rPr>
                <w:rFonts w:ascii="Times New Roman" w:hAnsi="Times New Roman" w:cs="Times New Roman"/>
              </w:rPr>
              <w:t>Готов к труду и обороне</w:t>
            </w:r>
            <w:r>
              <w:rPr>
                <w:rFonts w:ascii="Times New Roman" w:hAnsi="Times New Roman" w:cs="Times New Roman"/>
              </w:rPr>
              <w:t>»</w:t>
            </w:r>
            <w:r w:rsidRPr="00B249FA">
              <w:rPr>
                <w:rFonts w:ascii="Times New Roman" w:hAnsi="Times New Roman" w:cs="Times New Roman"/>
              </w:rPr>
              <w:t xml:space="preserve"> (ГТО)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BD726B" w:rsidRPr="00B3579F" w:rsidRDefault="00BD726B" w:rsidP="00BD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Матвеева Л.А. – главный специалист по внедрению комплекса ГТО </w:t>
            </w:r>
            <w:r>
              <w:rPr>
                <w:rFonts w:ascii="Times New Roman" w:hAnsi="Times New Roman" w:cs="Times New Roman"/>
              </w:rPr>
              <w:lastRenderedPageBreak/>
              <w:t>отдела развития физической культуры и массового спорта</w:t>
            </w:r>
          </w:p>
        </w:tc>
        <w:tc>
          <w:tcPr>
            <w:tcW w:w="1772" w:type="dxa"/>
          </w:tcPr>
          <w:p w:rsidR="00BD726B" w:rsidRPr="00B03D47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3190" w:type="dxa"/>
          </w:tcPr>
          <w:p w:rsidR="00BD726B" w:rsidRDefault="006066A7" w:rsidP="00BD726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88,9 %</w:t>
            </w:r>
            <w:r w:rsidR="008063C3">
              <w:rPr>
                <w:sz w:val="24"/>
                <w:szCs w:val="24"/>
              </w:rPr>
              <w:t xml:space="preserve"> (Общее количество принявших участие – 5 460 человек, количество выполнивших на знаки отличия  - 4 856 чел.)</w:t>
            </w:r>
          </w:p>
        </w:tc>
        <w:tc>
          <w:tcPr>
            <w:tcW w:w="4536" w:type="dxa"/>
          </w:tcPr>
          <w:p w:rsidR="00BD726B" w:rsidRPr="00B03D47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D726B" w:rsidRPr="00B03D47" w:rsidTr="00773A7C">
        <w:tc>
          <w:tcPr>
            <w:tcW w:w="834" w:type="dxa"/>
          </w:tcPr>
          <w:p w:rsidR="00BD726B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960" w:type="dxa"/>
            <w:vAlign w:val="center"/>
          </w:tcPr>
          <w:p w:rsidR="00BD726B" w:rsidRDefault="00BD726B" w:rsidP="00BD726B">
            <w:r w:rsidRPr="00B101B5">
              <w:rPr>
                <w:rFonts w:ascii="Times New Roman" w:hAnsi="Times New Roman" w:cs="Times New Roman"/>
              </w:rPr>
              <w:t>Основное мероприятие 2 «Поддержка создания и деятельности социально ориентированных некоммерческих организаций, оказывающих услуги в области физической культуры и спорта»</w:t>
            </w:r>
          </w:p>
        </w:tc>
        <w:tc>
          <w:tcPr>
            <w:tcW w:w="1984" w:type="dxa"/>
            <w:vAlign w:val="center"/>
          </w:tcPr>
          <w:p w:rsidR="00BD726B" w:rsidRPr="00B3579F" w:rsidRDefault="00BD726B" w:rsidP="00BD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Серёдкин А.К. – начальник отдела развития </w:t>
            </w:r>
            <w:r>
              <w:rPr>
                <w:rFonts w:ascii="Times New Roman" w:hAnsi="Times New Roman" w:cs="Times New Roman"/>
              </w:rPr>
              <w:t>физической культуры и массового спорта</w:t>
            </w:r>
          </w:p>
        </w:tc>
        <w:tc>
          <w:tcPr>
            <w:tcW w:w="1772" w:type="dxa"/>
          </w:tcPr>
          <w:p w:rsidR="00BD726B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D726B" w:rsidRPr="00B03D47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726B" w:rsidRPr="00B03D47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D726B" w:rsidRPr="00B03D47" w:rsidTr="00773A7C">
        <w:tc>
          <w:tcPr>
            <w:tcW w:w="834" w:type="dxa"/>
          </w:tcPr>
          <w:p w:rsidR="00BD726B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2960" w:type="dxa"/>
            <w:vAlign w:val="center"/>
          </w:tcPr>
          <w:p w:rsidR="00BD726B" w:rsidRPr="00B101B5" w:rsidRDefault="00BD726B" w:rsidP="00BD7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1: «</w:t>
            </w:r>
            <w:r w:rsidRPr="000A7463">
              <w:rPr>
                <w:rFonts w:ascii="Times New Roman" w:hAnsi="Times New Roman" w:cs="Times New Roman"/>
              </w:rPr>
              <w:t xml:space="preserve">Количество официальных физкультурных (физкультурно-оздоровительных) мероприятий, организованных социально ориентированными </w:t>
            </w:r>
            <w:r w:rsidRPr="000A7463">
              <w:rPr>
                <w:rFonts w:ascii="Times New Roman" w:hAnsi="Times New Roman" w:cs="Times New Roman"/>
              </w:rPr>
              <w:lastRenderedPageBreak/>
              <w:t>некоммерческими организациями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BD726B" w:rsidRPr="00B3579F" w:rsidRDefault="00BD726B" w:rsidP="00BD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Серёдкин А.К. – начальник отдела развития </w:t>
            </w:r>
            <w:r>
              <w:rPr>
                <w:rFonts w:ascii="Times New Roman" w:hAnsi="Times New Roman" w:cs="Times New Roman"/>
              </w:rPr>
              <w:t>физической культуры и массового спорта</w:t>
            </w:r>
          </w:p>
        </w:tc>
        <w:tc>
          <w:tcPr>
            <w:tcW w:w="1772" w:type="dxa"/>
          </w:tcPr>
          <w:p w:rsidR="00BD726B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190" w:type="dxa"/>
          </w:tcPr>
          <w:p w:rsidR="00BD726B" w:rsidRPr="00B03D47" w:rsidRDefault="00BD726B" w:rsidP="0085765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 ориентированными некоммерческими организациями проведено </w:t>
            </w:r>
            <w:r w:rsidR="0085765C">
              <w:rPr>
                <w:sz w:val="24"/>
                <w:szCs w:val="24"/>
              </w:rPr>
              <w:t>12</w:t>
            </w:r>
            <w:r w:rsidRPr="00857504">
              <w:rPr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t>, среди которых региональная</w:t>
            </w:r>
            <w:r w:rsidRPr="00AC58C0">
              <w:rPr>
                <w:sz w:val="24"/>
                <w:szCs w:val="24"/>
              </w:rPr>
              <w:t xml:space="preserve"> спартакиад</w:t>
            </w:r>
            <w:r>
              <w:rPr>
                <w:sz w:val="24"/>
                <w:szCs w:val="24"/>
              </w:rPr>
              <w:t>а</w:t>
            </w:r>
            <w:r w:rsidRPr="00AC58C0">
              <w:rPr>
                <w:sz w:val="24"/>
                <w:szCs w:val="24"/>
              </w:rPr>
              <w:t xml:space="preserve"> среди дет</w:t>
            </w:r>
            <w:r>
              <w:rPr>
                <w:sz w:val="24"/>
                <w:szCs w:val="24"/>
              </w:rPr>
              <w:t xml:space="preserve">ей «От массовости к мастерству» по волейболу и соревнования комплекса ГТО, </w:t>
            </w:r>
            <w:r w:rsidRPr="00AC58C0">
              <w:rPr>
                <w:sz w:val="24"/>
                <w:szCs w:val="24"/>
              </w:rPr>
              <w:t>сп</w:t>
            </w:r>
            <w:r w:rsidR="0085765C">
              <w:rPr>
                <w:sz w:val="24"/>
                <w:szCs w:val="24"/>
              </w:rPr>
              <w:t xml:space="preserve">артакиада среди </w:t>
            </w:r>
            <w:r w:rsidR="0085765C">
              <w:rPr>
                <w:sz w:val="24"/>
                <w:szCs w:val="24"/>
              </w:rPr>
              <w:lastRenderedPageBreak/>
              <w:t>детей инвалидов, м</w:t>
            </w:r>
            <w:r w:rsidR="0085765C" w:rsidRPr="0085765C">
              <w:rPr>
                <w:sz w:val="24"/>
                <w:szCs w:val="24"/>
              </w:rPr>
              <w:t>ероприятия среди подростков и молодежи, находящихся в трудной жизне</w:t>
            </w:r>
            <w:r w:rsidR="0085765C">
              <w:rPr>
                <w:sz w:val="24"/>
                <w:szCs w:val="24"/>
              </w:rPr>
              <w:t>нной ситуации «Правильный выбор», м</w:t>
            </w:r>
            <w:r w:rsidR="0085765C" w:rsidRPr="0085765C">
              <w:rPr>
                <w:sz w:val="24"/>
                <w:szCs w:val="24"/>
              </w:rPr>
              <w:t>ассовые спортивные соревнования</w:t>
            </w:r>
            <w:r w:rsidR="0085765C">
              <w:rPr>
                <w:sz w:val="24"/>
                <w:szCs w:val="24"/>
              </w:rPr>
              <w:t xml:space="preserve"> по спортивному ориентированию «Р</w:t>
            </w:r>
            <w:r w:rsidR="0085765C" w:rsidRPr="0085765C">
              <w:rPr>
                <w:sz w:val="24"/>
                <w:szCs w:val="24"/>
              </w:rPr>
              <w:t>оссийский азимут</w:t>
            </w:r>
            <w:r w:rsidR="0085765C">
              <w:rPr>
                <w:sz w:val="24"/>
                <w:szCs w:val="24"/>
              </w:rPr>
              <w:t>»</w:t>
            </w:r>
            <w:r w:rsidR="008063C3">
              <w:rPr>
                <w:sz w:val="24"/>
                <w:szCs w:val="24"/>
              </w:rPr>
              <w:t>, Белая ладья</w:t>
            </w:r>
            <w:r w:rsidR="0085765C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4536" w:type="dxa"/>
          </w:tcPr>
          <w:p w:rsidR="00BD726B" w:rsidRPr="00B03D47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D726B" w:rsidRPr="00B03D47" w:rsidTr="00883030">
        <w:tc>
          <w:tcPr>
            <w:tcW w:w="834" w:type="dxa"/>
          </w:tcPr>
          <w:p w:rsidR="00BD726B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0" w:type="dxa"/>
          </w:tcPr>
          <w:p w:rsidR="00BD726B" w:rsidRPr="00213C51" w:rsidRDefault="00BD726B" w:rsidP="00BD726B">
            <w:pPr>
              <w:rPr>
                <w:rFonts w:ascii="Times New Roman" w:hAnsi="Times New Roman" w:cs="Times New Roman"/>
                <w:b/>
              </w:rPr>
            </w:pPr>
            <w:r w:rsidRPr="00213C51">
              <w:rPr>
                <w:rFonts w:ascii="Times New Roman" w:hAnsi="Times New Roman" w:cs="Times New Roman"/>
                <w:b/>
              </w:rPr>
              <w:t>Подпрограмма «Подготовка спортивного резерва в Забайкальском крае»</w:t>
            </w:r>
          </w:p>
        </w:tc>
        <w:tc>
          <w:tcPr>
            <w:tcW w:w="1984" w:type="dxa"/>
            <w:vAlign w:val="center"/>
          </w:tcPr>
          <w:p w:rsidR="00BD726B" w:rsidRPr="00B3579F" w:rsidRDefault="00BD726B" w:rsidP="00BD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Кулигин А.И. – начальник отдела</w:t>
            </w:r>
            <w:r w:rsidRPr="00DE4EC1">
              <w:rPr>
                <w:rFonts w:ascii="Times New Roman" w:hAnsi="Times New Roman" w:cs="Times New Roman"/>
              </w:rPr>
              <w:t xml:space="preserve"> спорта высших достижений и подготовки спортивного резерва</w:t>
            </w:r>
          </w:p>
        </w:tc>
        <w:tc>
          <w:tcPr>
            <w:tcW w:w="1772" w:type="dxa"/>
          </w:tcPr>
          <w:p w:rsidR="00BD726B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D726B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726B" w:rsidRPr="00B03D47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63C3" w:rsidRPr="00B03D47" w:rsidTr="006B118C">
        <w:tc>
          <w:tcPr>
            <w:tcW w:w="834" w:type="dxa"/>
          </w:tcPr>
          <w:p w:rsidR="008063C3" w:rsidRDefault="00D53135" w:rsidP="008063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60" w:type="dxa"/>
            <w:vAlign w:val="center"/>
          </w:tcPr>
          <w:p w:rsidR="008063C3" w:rsidRPr="00B3579F" w:rsidRDefault="008063C3" w:rsidP="0080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 «</w:t>
            </w:r>
            <w:r w:rsidRPr="00213C51">
              <w:rPr>
                <w:rFonts w:ascii="Times New Roman" w:hAnsi="Times New Roman" w:cs="Times New Roman"/>
              </w:rPr>
              <w:t xml:space="preserve">Организация деятельности краевых государственных учреждений, координация и регулирование </w:t>
            </w:r>
            <w:r w:rsidRPr="00213C51">
              <w:rPr>
                <w:rFonts w:ascii="Times New Roman" w:hAnsi="Times New Roman" w:cs="Times New Roman"/>
              </w:rPr>
              <w:lastRenderedPageBreak/>
              <w:t>деятельности которых возложены на Министерство физической культуры и спорта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8063C3" w:rsidRPr="00B3579F" w:rsidRDefault="008063C3" w:rsidP="0080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Кулигин А.И. – начальник отдела</w:t>
            </w:r>
            <w:r w:rsidRPr="00DE4EC1">
              <w:rPr>
                <w:rFonts w:ascii="Times New Roman" w:hAnsi="Times New Roman" w:cs="Times New Roman"/>
              </w:rPr>
              <w:t xml:space="preserve"> спорта высших достижений и подготовки </w:t>
            </w:r>
            <w:r w:rsidRPr="00DE4EC1">
              <w:rPr>
                <w:rFonts w:ascii="Times New Roman" w:hAnsi="Times New Roman" w:cs="Times New Roman"/>
              </w:rPr>
              <w:lastRenderedPageBreak/>
              <w:t>спортивного резерва</w:t>
            </w:r>
          </w:p>
        </w:tc>
        <w:tc>
          <w:tcPr>
            <w:tcW w:w="1772" w:type="dxa"/>
          </w:tcPr>
          <w:p w:rsidR="008063C3" w:rsidRDefault="008063C3" w:rsidP="008063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063C3" w:rsidRDefault="008063C3" w:rsidP="008063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063C3" w:rsidRPr="00B03D47" w:rsidRDefault="008063C3" w:rsidP="008063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8063C3" w:rsidRPr="00B03D47" w:rsidTr="00883030">
        <w:tc>
          <w:tcPr>
            <w:tcW w:w="834" w:type="dxa"/>
          </w:tcPr>
          <w:p w:rsidR="008063C3" w:rsidRDefault="00D53135" w:rsidP="008063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960" w:type="dxa"/>
          </w:tcPr>
          <w:p w:rsidR="008063C3" w:rsidRDefault="008063C3" w:rsidP="008063C3">
            <w:r w:rsidRPr="001B2658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1: «</w:t>
            </w:r>
            <w:r w:rsidRPr="00F53720">
              <w:rPr>
                <w:rFonts w:ascii="Times New Roman" w:hAnsi="Times New Roman" w:cs="Times New Roman"/>
              </w:rPr>
              <w:t>Организация и обеспечение подготовки спортивного резерва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8063C3" w:rsidRPr="00B3579F" w:rsidRDefault="008063C3" w:rsidP="00806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Кулигин А.И. – начальник отдела</w:t>
            </w:r>
            <w:r w:rsidRPr="00DE4EC1">
              <w:rPr>
                <w:rFonts w:ascii="Times New Roman" w:hAnsi="Times New Roman" w:cs="Times New Roman"/>
              </w:rPr>
              <w:t xml:space="preserve"> спорта высших достижений и подготовки спортивного резерва</w:t>
            </w:r>
          </w:p>
        </w:tc>
        <w:tc>
          <w:tcPr>
            <w:tcW w:w="1772" w:type="dxa"/>
          </w:tcPr>
          <w:p w:rsidR="008063C3" w:rsidRDefault="008063C3" w:rsidP="008063C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190" w:type="dxa"/>
          </w:tcPr>
          <w:p w:rsidR="008063C3" w:rsidRDefault="008063C3" w:rsidP="00D531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3135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человек</w:t>
            </w:r>
            <w:r w:rsidR="00D531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063C3" w:rsidRPr="00B03D47" w:rsidRDefault="008063C3" w:rsidP="008063C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D726B" w:rsidRPr="00B03D47" w:rsidTr="00773A7C">
        <w:tc>
          <w:tcPr>
            <w:tcW w:w="834" w:type="dxa"/>
          </w:tcPr>
          <w:p w:rsidR="00BD726B" w:rsidRDefault="00D53135" w:rsidP="00BD726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960" w:type="dxa"/>
            <w:vAlign w:val="center"/>
          </w:tcPr>
          <w:p w:rsidR="00BD726B" w:rsidRPr="001B2658" w:rsidRDefault="00BD726B" w:rsidP="00BD7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 «</w:t>
            </w:r>
            <w:r w:rsidRPr="00373C49">
              <w:rPr>
                <w:rFonts w:ascii="Times New Roman" w:hAnsi="Times New Roman" w:cs="Times New Roman"/>
              </w:rPr>
              <w:t xml:space="preserve">Выполнение работ по организации и проведению в соответствии с календарным планом спортивных мероприятий   межмуниципального, регионального, всероссийского, международного уровней, подготовка спортивных </w:t>
            </w:r>
            <w:r w:rsidRPr="00373C49">
              <w:rPr>
                <w:rFonts w:ascii="Times New Roman" w:hAnsi="Times New Roman" w:cs="Times New Roman"/>
              </w:rPr>
              <w:lastRenderedPageBreak/>
              <w:t>сборных команд Забайкальского края по видам спорта к спортивным соревнованиям, обеспечение участия спортсменов в соревнованиях регио</w:t>
            </w:r>
            <w:r>
              <w:rPr>
                <w:rFonts w:ascii="Times New Roman" w:hAnsi="Times New Roman" w:cs="Times New Roman"/>
              </w:rPr>
              <w:t>н</w:t>
            </w:r>
            <w:r w:rsidRPr="00373C49">
              <w:rPr>
                <w:rFonts w:ascii="Times New Roman" w:hAnsi="Times New Roman" w:cs="Times New Roman"/>
              </w:rPr>
              <w:t>ального, межрегионального, всеросси</w:t>
            </w:r>
            <w:r>
              <w:rPr>
                <w:rFonts w:ascii="Times New Roman" w:hAnsi="Times New Roman" w:cs="Times New Roman"/>
              </w:rPr>
              <w:t>йского и международного уровней»</w:t>
            </w:r>
          </w:p>
        </w:tc>
        <w:tc>
          <w:tcPr>
            <w:tcW w:w="1984" w:type="dxa"/>
            <w:vAlign w:val="center"/>
          </w:tcPr>
          <w:p w:rsidR="00BD726B" w:rsidRPr="00B3579F" w:rsidRDefault="00BD726B" w:rsidP="00BD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</w:t>
            </w:r>
            <w:r w:rsidRPr="00DE4EC1">
              <w:rPr>
                <w:rFonts w:ascii="Times New Roman" w:hAnsi="Times New Roman" w:cs="Times New Roman"/>
              </w:rPr>
              <w:t xml:space="preserve"> спорта высших достижений и подготовки спортивного резерва</w:t>
            </w:r>
          </w:p>
        </w:tc>
        <w:tc>
          <w:tcPr>
            <w:tcW w:w="1772" w:type="dxa"/>
          </w:tcPr>
          <w:p w:rsidR="00BD726B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D726B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726B" w:rsidRPr="00B03D47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D726B" w:rsidRPr="00B03D47" w:rsidTr="00773A7C">
        <w:tc>
          <w:tcPr>
            <w:tcW w:w="834" w:type="dxa"/>
          </w:tcPr>
          <w:p w:rsidR="00BD726B" w:rsidRDefault="00BD726B" w:rsidP="00D531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531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960" w:type="dxa"/>
            <w:vAlign w:val="center"/>
          </w:tcPr>
          <w:p w:rsidR="00BD726B" w:rsidRDefault="00BD726B" w:rsidP="00BD726B">
            <w:r w:rsidRPr="001B2658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1: «</w:t>
            </w:r>
            <w:r w:rsidRPr="00373C49">
              <w:rPr>
                <w:rFonts w:ascii="Times New Roman" w:hAnsi="Times New Roman" w:cs="Times New Roman"/>
              </w:rPr>
              <w:t>Количество организованных и проведенных спортивных мероприятий межмуниципального, регионального, межрегионального, всероссийского уровня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BD726B" w:rsidRPr="00B3579F" w:rsidRDefault="00BD726B" w:rsidP="00BD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DE4EC1">
              <w:rPr>
                <w:rFonts w:ascii="Times New Roman" w:hAnsi="Times New Roman" w:cs="Times New Roman"/>
              </w:rPr>
              <w:t xml:space="preserve"> спорта высших достижений и подготовки спортивного резерва</w:t>
            </w:r>
          </w:p>
        </w:tc>
        <w:tc>
          <w:tcPr>
            <w:tcW w:w="1772" w:type="dxa"/>
          </w:tcPr>
          <w:p w:rsidR="00BD726B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190" w:type="dxa"/>
          </w:tcPr>
          <w:p w:rsidR="00BD726B" w:rsidRDefault="00BD726B" w:rsidP="00D531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</w:t>
            </w:r>
            <w:r w:rsidR="00D53135">
              <w:rPr>
                <w:sz w:val="24"/>
                <w:szCs w:val="24"/>
              </w:rPr>
              <w:t>315</w:t>
            </w:r>
            <w:r>
              <w:rPr>
                <w:sz w:val="24"/>
                <w:szCs w:val="24"/>
              </w:rPr>
              <w:t xml:space="preserve"> спортивных мероприятия, включая первенства, чемпионаты и розыгрыши кубков Забайкальского края</w:t>
            </w:r>
          </w:p>
        </w:tc>
        <w:tc>
          <w:tcPr>
            <w:tcW w:w="4536" w:type="dxa"/>
          </w:tcPr>
          <w:p w:rsidR="00BD726B" w:rsidRPr="00B03D47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D726B" w:rsidRPr="00B03D47" w:rsidTr="00773A7C">
        <w:tc>
          <w:tcPr>
            <w:tcW w:w="834" w:type="dxa"/>
          </w:tcPr>
          <w:p w:rsidR="00BD726B" w:rsidRDefault="00E845FB" w:rsidP="00BD726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960" w:type="dxa"/>
            <w:vAlign w:val="center"/>
          </w:tcPr>
          <w:p w:rsidR="00BD726B" w:rsidRPr="001B2658" w:rsidRDefault="00BD726B" w:rsidP="00BD7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«</w:t>
            </w:r>
            <w:r w:rsidRPr="00F437A4">
              <w:rPr>
                <w:rFonts w:ascii="Times New Roman" w:hAnsi="Times New Roman" w:cs="Times New Roman"/>
              </w:rPr>
              <w:t>Спортивная подготовка по видам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BD726B" w:rsidRPr="00B3579F" w:rsidRDefault="00BD726B" w:rsidP="00BD7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DE4EC1">
              <w:rPr>
                <w:rFonts w:ascii="Times New Roman" w:hAnsi="Times New Roman" w:cs="Times New Roman"/>
              </w:rPr>
              <w:t xml:space="preserve"> спорта высших достижений и подготовки </w:t>
            </w:r>
            <w:r w:rsidRPr="00DE4EC1">
              <w:rPr>
                <w:rFonts w:ascii="Times New Roman" w:hAnsi="Times New Roman" w:cs="Times New Roman"/>
              </w:rPr>
              <w:lastRenderedPageBreak/>
              <w:t>спортивного резерва</w:t>
            </w:r>
          </w:p>
        </w:tc>
        <w:tc>
          <w:tcPr>
            <w:tcW w:w="1772" w:type="dxa"/>
          </w:tcPr>
          <w:p w:rsidR="00BD726B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BD726B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D726B" w:rsidRPr="00B03D47" w:rsidRDefault="00BD726B" w:rsidP="00BD72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845FB" w:rsidRPr="00B03D47" w:rsidTr="00773A7C">
        <w:tc>
          <w:tcPr>
            <w:tcW w:w="834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2960" w:type="dxa"/>
            <w:vAlign w:val="center"/>
          </w:tcPr>
          <w:p w:rsidR="00E845FB" w:rsidRDefault="00E845FB" w:rsidP="00E845FB">
            <w:pPr>
              <w:rPr>
                <w:rFonts w:ascii="Times New Roman" w:hAnsi="Times New Roman" w:cs="Times New Roman"/>
              </w:rPr>
            </w:pPr>
            <w:r w:rsidRPr="001B2658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1: «</w:t>
            </w:r>
            <w:r w:rsidRPr="00F437A4">
              <w:rPr>
                <w:rFonts w:ascii="Times New Roman" w:hAnsi="Times New Roman" w:cs="Times New Roman"/>
              </w:rPr>
              <w:t>Число спортсменов, зачисленных кандидатами в спортивные сборные команды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E845FB" w:rsidRPr="00B3579F" w:rsidRDefault="00E845FB" w:rsidP="00E8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DE4EC1">
              <w:rPr>
                <w:rFonts w:ascii="Times New Roman" w:hAnsi="Times New Roman" w:cs="Times New Roman"/>
              </w:rPr>
              <w:t xml:space="preserve"> спорта высших достижений и подготовки спортивного резерва</w:t>
            </w:r>
          </w:p>
        </w:tc>
        <w:tc>
          <w:tcPr>
            <w:tcW w:w="1772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190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члена спортивных сборных команд РФ</w:t>
            </w:r>
          </w:p>
        </w:tc>
        <w:tc>
          <w:tcPr>
            <w:tcW w:w="4536" w:type="dxa"/>
          </w:tcPr>
          <w:p w:rsidR="00E845FB" w:rsidRPr="00B03D47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845FB" w:rsidRPr="00B03D47" w:rsidTr="00773A7C">
        <w:tc>
          <w:tcPr>
            <w:tcW w:w="834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2960" w:type="dxa"/>
            <w:vAlign w:val="center"/>
          </w:tcPr>
          <w:p w:rsidR="00E845FB" w:rsidRPr="001B2658" w:rsidRDefault="00E845FB" w:rsidP="00E845FB">
            <w:pPr>
              <w:rPr>
                <w:rFonts w:ascii="Times New Roman" w:hAnsi="Times New Roman" w:cs="Times New Roman"/>
              </w:rPr>
            </w:pPr>
            <w:r w:rsidRPr="001B2658">
              <w:rPr>
                <w:rFonts w:ascii="Times New Roman" w:hAnsi="Times New Roman" w:cs="Times New Roman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</w:rPr>
              <w:t>2: «</w:t>
            </w:r>
            <w:r w:rsidRPr="00AD66C2">
              <w:rPr>
                <w:rFonts w:ascii="Times New Roman" w:hAnsi="Times New Roman" w:cs="Times New Roman"/>
              </w:rPr>
              <w:t>Число спортсменов, которым присвоен спортивный разряд «кандидат в мастера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E845FB" w:rsidRPr="00B3579F" w:rsidRDefault="00E845FB" w:rsidP="00E8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Pr="00DE4EC1">
              <w:rPr>
                <w:rFonts w:ascii="Times New Roman" w:hAnsi="Times New Roman" w:cs="Times New Roman"/>
              </w:rPr>
              <w:t xml:space="preserve"> спорта высших достижений и подготовки спортивного резерва</w:t>
            </w:r>
          </w:p>
        </w:tc>
        <w:tc>
          <w:tcPr>
            <w:tcW w:w="1772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190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D66C2">
              <w:rPr>
                <w:sz w:val="24"/>
                <w:szCs w:val="24"/>
              </w:rPr>
              <w:t>портивный разряд «кандидат в мастера спорта</w:t>
            </w:r>
            <w:r>
              <w:rPr>
                <w:sz w:val="24"/>
                <w:szCs w:val="24"/>
              </w:rPr>
              <w:t>» присвоен 346 спортсменам</w:t>
            </w:r>
          </w:p>
        </w:tc>
        <w:tc>
          <w:tcPr>
            <w:tcW w:w="4536" w:type="dxa"/>
          </w:tcPr>
          <w:p w:rsidR="00E845FB" w:rsidRPr="00B03D47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845FB" w:rsidRPr="00B03D47" w:rsidTr="003A6CE5">
        <w:tc>
          <w:tcPr>
            <w:tcW w:w="834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0" w:type="dxa"/>
          </w:tcPr>
          <w:p w:rsidR="00E845FB" w:rsidRPr="00EF56F2" w:rsidRDefault="00E845FB" w:rsidP="00E845FB">
            <w:pPr>
              <w:rPr>
                <w:rFonts w:ascii="Times New Roman" w:hAnsi="Times New Roman" w:cs="Times New Roman"/>
                <w:b/>
              </w:rPr>
            </w:pPr>
            <w:r w:rsidRPr="00EF56F2">
              <w:rPr>
                <w:rFonts w:ascii="Times New Roman" w:hAnsi="Times New Roman" w:cs="Times New Roman"/>
                <w:b/>
              </w:rPr>
              <w:t>Подпрограмма «Обеспечивающая подпрограмма»</w:t>
            </w:r>
          </w:p>
        </w:tc>
        <w:tc>
          <w:tcPr>
            <w:tcW w:w="1984" w:type="dxa"/>
            <w:vAlign w:val="center"/>
          </w:tcPr>
          <w:p w:rsidR="00E845FB" w:rsidRPr="00B3579F" w:rsidRDefault="00E845FB" w:rsidP="00E845FB">
            <w:pPr>
              <w:jc w:val="center"/>
              <w:rPr>
                <w:rFonts w:ascii="Times New Roman" w:hAnsi="Times New Roman" w:cs="Times New Roman"/>
              </w:rPr>
            </w:pPr>
            <w:r w:rsidRPr="0006764F">
              <w:rPr>
                <w:rFonts w:ascii="Times New Roman" w:hAnsi="Times New Roman"/>
              </w:rPr>
              <w:t xml:space="preserve">Министерство </w:t>
            </w:r>
            <w:r>
              <w:rPr>
                <w:rFonts w:ascii="Times New Roman" w:hAnsi="Times New Roman"/>
              </w:rPr>
              <w:t xml:space="preserve">физической </w:t>
            </w:r>
            <w:r w:rsidRPr="0006764F">
              <w:rPr>
                <w:rFonts w:ascii="Times New Roman" w:hAnsi="Times New Roman"/>
              </w:rPr>
              <w:t xml:space="preserve">культуры </w:t>
            </w:r>
            <w:r>
              <w:rPr>
                <w:rFonts w:ascii="Times New Roman" w:hAnsi="Times New Roman"/>
              </w:rPr>
              <w:t xml:space="preserve">и спорта </w:t>
            </w:r>
            <w:r w:rsidRPr="0006764F">
              <w:rPr>
                <w:rFonts w:ascii="Times New Roman" w:hAnsi="Times New Roman"/>
              </w:rPr>
              <w:t>Забайкальского края</w:t>
            </w:r>
          </w:p>
        </w:tc>
        <w:tc>
          <w:tcPr>
            <w:tcW w:w="1772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845FB" w:rsidRPr="00AD66C2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845FB" w:rsidRPr="00B03D47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845FB" w:rsidRPr="00B03D47" w:rsidTr="003A6CE5">
        <w:tc>
          <w:tcPr>
            <w:tcW w:w="834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960" w:type="dxa"/>
            <w:vAlign w:val="center"/>
          </w:tcPr>
          <w:p w:rsidR="00E845FB" w:rsidRDefault="00E845FB" w:rsidP="00E845FB">
            <w:pPr>
              <w:rPr>
                <w:rFonts w:ascii="Times New Roman" w:hAnsi="Times New Roman" w:cs="Times New Roman"/>
              </w:rPr>
            </w:pPr>
            <w:r w:rsidRPr="00EF56F2">
              <w:rPr>
                <w:rFonts w:ascii="Times New Roman" w:hAnsi="Times New Roman" w:cs="Times New Roman"/>
              </w:rPr>
              <w:t xml:space="preserve">Основное мероприятие 1 </w:t>
            </w:r>
            <w:r>
              <w:rPr>
                <w:rFonts w:ascii="Times New Roman" w:hAnsi="Times New Roman" w:cs="Times New Roman"/>
              </w:rPr>
              <w:t>«</w:t>
            </w:r>
            <w:r w:rsidRPr="00EF56F2">
              <w:rPr>
                <w:rFonts w:ascii="Times New Roman" w:hAnsi="Times New Roman" w:cs="Times New Roman"/>
              </w:rPr>
              <w:t>Обеспечение деятельности Министерства физической культуры и спорта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845FB" w:rsidRPr="00DE4EC1" w:rsidRDefault="00E845FB" w:rsidP="00E845FB">
            <w:pPr>
              <w:jc w:val="center"/>
              <w:rPr>
                <w:rFonts w:ascii="Times New Roman" w:hAnsi="Times New Roman"/>
              </w:rPr>
            </w:pPr>
            <w:r w:rsidRPr="00DE4EC1">
              <w:rPr>
                <w:rFonts w:ascii="Times New Roman" w:hAnsi="Times New Roman"/>
              </w:rPr>
              <w:t>отдел финансовой и организационной работы</w:t>
            </w:r>
          </w:p>
        </w:tc>
        <w:tc>
          <w:tcPr>
            <w:tcW w:w="1772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845FB" w:rsidRPr="00AD66C2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845FB" w:rsidRPr="00B03D47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845FB" w:rsidRPr="00B03D47" w:rsidTr="003A6CE5">
        <w:tc>
          <w:tcPr>
            <w:tcW w:w="834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960" w:type="dxa"/>
            <w:vAlign w:val="center"/>
          </w:tcPr>
          <w:p w:rsidR="00E845FB" w:rsidRPr="00B3579F" w:rsidRDefault="00E845FB" w:rsidP="00E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1: «</w:t>
            </w:r>
            <w:r w:rsidRPr="00EF56F2">
              <w:rPr>
                <w:rFonts w:ascii="Times New Roman" w:hAnsi="Times New Roman" w:cs="Times New Roman"/>
              </w:rPr>
              <w:t>Степень достижения установленных значений целевых показателей государственной программы и входящих в нее подпрограмм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E845FB" w:rsidRPr="00DE4EC1" w:rsidRDefault="00E845FB" w:rsidP="00E845FB">
            <w:pPr>
              <w:jc w:val="center"/>
              <w:rPr>
                <w:rFonts w:ascii="Times New Roman" w:hAnsi="Times New Roman"/>
              </w:rPr>
            </w:pPr>
            <w:r w:rsidRPr="00DE4EC1">
              <w:rPr>
                <w:rFonts w:ascii="Times New Roman" w:hAnsi="Times New Roman"/>
              </w:rPr>
              <w:t>отдел финансовой и организационной работы</w:t>
            </w:r>
          </w:p>
        </w:tc>
        <w:tc>
          <w:tcPr>
            <w:tcW w:w="1772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3190" w:type="dxa"/>
          </w:tcPr>
          <w:p w:rsidR="00E845FB" w:rsidRPr="00AD66C2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4536" w:type="dxa"/>
          </w:tcPr>
          <w:p w:rsidR="00E845FB" w:rsidRPr="00B03D47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845FB" w:rsidRPr="00B03D47" w:rsidTr="00E50545">
        <w:tc>
          <w:tcPr>
            <w:tcW w:w="834" w:type="dxa"/>
          </w:tcPr>
          <w:p w:rsidR="00E845FB" w:rsidRPr="00B3579F" w:rsidRDefault="00E845FB" w:rsidP="00E8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0" w:type="dxa"/>
          </w:tcPr>
          <w:p w:rsidR="00E845FB" w:rsidRPr="00EF56F2" w:rsidRDefault="00E845FB" w:rsidP="00E845FB">
            <w:pPr>
              <w:rPr>
                <w:rFonts w:ascii="Times New Roman" w:hAnsi="Times New Roman" w:cs="Times New Roman"/>
                <w:b/>
              </w:rPr>
            </w:pPr>
            <w:r w:rsidRPr="00EF56F2">
              <w:rPr>
                <w:rFonts w:ascii="Times New Roman" w:hAnsi="Times New Roman" w:cs="Times New Roman"/>
                <w:b/>
              </w:rPr>
              <w:t>Подпрограмма «Развитие материально-технич</w:t>
            </w:r>
            <w:r>
              <w:rPr>
                <w:rFonts w:ascii="Times New Roman" w:hAnsi="Times New Roman" w:cs="Times New Roman"/>
                <w:b/>
              </w:rPr>
              <w:t>еской базы отрасли «</w:t>
            </w:r>
            <w:r w:rsidRPr="00EF56F2">
              <w:rPr>
                <w:rFonts w:ascii="Times New Roman" w:hAnsi="Times New Roman" w:cs="Times New Roman"/>
                <w:b/>
              </w:rPr>
              <w:t>Физическая культура и спорт»</w:t>
            </w:r>
          </w:p>
        </w:tc>
        <w:tc>
          <w:tcPr>
            <w:tcW w:w="1984" w:type="dxa"/>
            <w:vAlign w:val="center"/>
          </w:tcPr>
          <w:p w:rsidR="00E845FB" w:rsidRPr="00B3579F" w:rsidRDefault="00E845FB" w:rsidP="00E8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Соболев А.Н. – заведующий отделом </w:t>
            </w:r>
            <w:r w:rsidRPr="00DE4EC1">
              <w:rPr>
                <w:rFonts w:ascii="Times New Roman" w:hAnsi="Times New Roman" w:cs="Times New Roman"/>
              </w:rPr>
              <w:t>по развитию и эксплуатации спортивной инфраструктуры</w:t>
            </w:r>
          </w:p>
        </w:tc>
        <w:tc>
          <w:tcPr>
            <w:tcW w:w="1772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845FB" w:rsidRPr="00B03D47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845FB" w:rsidRPr="00B03D47" w:rsidTr="00E50545">
        <w:tc>
          <w:tcPr>
            <w:tcW w:w="834" w:type="dxa"/>
          </w:tcPr>
          <w:p w:rsidR="00E845FB" w:rsidRDefault="00E845FB" w:rsidP="00E8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960" w:type="dxa"/>
            <w:vAlign w:val="center"/>
          </w:tcPr>
          <w:p w:rsidR="00E845FB" w:rsidRPr="00EF56F2" w:rsidRDefault="00E845FB" w:rsidP="00E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9 </w:t>
            </w:r>
            <w:r w:rsidRPr="002C7365">
              <w:rPr>
                <w:rFonts w:ascii="Times New Roman" w:hAnsi="Times New Roman" w:cs="Times New Roman"/>
              </w:rPr>
              <w:t xml:space="preserve">«Региональный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</w:t>
            </w:r>
            <w:r w:rsidRPr="002C7365">
              <w:rPr>
                <w:rFonts w:ascii="Times New Roman" w:hAnsi="Times New Roman" w:cs="Times New Roman"/>
              </w:rPr>
              <w:lastRenderedPageBreak/>
              <w:t>резерва (Забайкальский край)»</w:t>
            </w:r>
          </w:p>
        </w:tc>
        <w:tc>
          <w:tcPr>
            <w:tcW w:w="1984" w:type="dxa"/>
            <w:vAlign w:val="center"/>
          </w:tcPr>
          <w:p w:rsidR="00E845FB" w:rsidRPr="00B3579F" w:rsidRDefault="00E845FB" w:rsidP="00E8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Соболев А.Н. – заведующий отделом </w:t>
            </w:r>
            <w:r w:rsidRPr="00DE4EC1">
              <w:rPr>
                <w:rFonts w:ascii="Times New Roman" w:hAnsi="Times New Roman" w:cs="Times New Roman"/>
              </w:rPr>
              <w:t>по развитию и эксплуатации спортивной инфраструктуры</w:t>
            </w:r>
          </w:p>
        </w:tc>
        <w:tc>
          <w:tcPr>
            <w:tcW w:w="1772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845FB" w:rsidRPr="00B03D47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845FB" w:rsidRPr="00B03D47" w:rsidTr="00E50545">
        <w:tc>
          <w:tcPr>
            <w:tcW w:w="834" w:type="dxa"/>
          </w:tcPr>
          <w:p w:rsidR="00E845FB" w:rsidRPr="00B3579F" w:rsidRDefault="00E845FB" w:rsidP="00E8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960" w:type="dxa"/>
            <w:vAlign w:val="center"/>
          </w:tcPr>
          <w:p w:rsidR="00E845FB" w:rsidRPr="00B3579F" w:rsidRDefault="00E845FB" w:rsidP="00E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1: «</w:t>
            </w:r>
            <w:r w:rsidRPr="002C7365">
              <w:rPr>
                <w:rFonts w:ascii="Times New Roman" w:hAnsi="Times New Roman" w:cs="Times New Roman"/>
              </w:rPr>
              <w:t>Количество созданных физкультурно-оздоровительных комплексов открытого типа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E845FB" w:rsidRPr="00B3579F" w:rsidRDefault="00E845FB" w:rsidP="00E8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Карелин А.В. – ведущий инженер отдела </w:t>
            </w:r>
            <w:r w:rsidRPr="00DE4EC1">
              <w:rPr>
                <w:rFonts w:ascii="Times New Roman" w:hAnsi="Times New Roman" w:cs="Times New Roman"/>
              </w:rPr>
              <w:t>по развитию и эксплуатации спортивной инфраструктуры</w:t>
            </w:r>
          </w:p>
        </w:tc>
        <w:tc>
          <w:tcPr>
            <w:tcW w:w="1772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190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Создано 2 </w:t>
            </w:r>
            <w:proofErr w:type="spellStart"/>
            <w:r>
              <w:rPr>
                <w:sz w:val="24"/>
                <w:szCs w:val="24"/>
              </w:rPr>
              <w:t>ФОКОТа</w:t>
            </w:r>
            <w:proofErr w:type="spellEnd"/>
            <w:r>
              <w:rPr>
                <w:sz w:val="24"/>
                <w:szCs w:val="24"/>
              </w:rPr>
              <w:t xml:space="preserve"> в п. Чернышевск и г. Шилка</w:t>
            </w:r>
          </w:p>
        </w:tc>
        <w:tc>
          <w:tcPr>
            <w:tcW w:w="4536" w:type="dxa"/>
          </w:tcPr>
          <w:p w:rsidR="00E845FB" w:rsidRPr="00B03D47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845FB" w:rsidRPr="00B03D47" w:rsidTr="00E50545">
        <w:tc>
          <w:tcPr>
            <w:tcW w:w="834" w:type="dxa"/>
          </w:tcPr>
          <w:p w:rsidR="00E845FB" w:rsidRDefault="00E845FB" w:rsidP="00E8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2960" w:type="dxa"/>
            <w:vAlign w:val="center"/>
          </w:tcPr>
          <w:p w:rsidR="00E845FB" w:rsidRDefault="00E845FB" w:rsidP="00E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2: «</w:t>
            </w:r>
            <w:r w:rsidRPr="008A0A41">
              <w:rPr>
                <w:rFonts w:ascii="Times New Roman" w:hAnsi="Times New Roman" w:cs="Times New Roman"/>
              </w:rPr>
              <w:t>Количество муниципальных районов (образований), где для центров тестирования ВФСК «Готов к труду и обороне» созданы малые спортивные площадки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E845FB" w:rsidRPr="00B3579F" w:rsidRDefault="00E845FB" w:rsidP="00E8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Карелин А.В. – ведущий инженер отдела </w:t>
            </w:r>
            <w:r w:rsidRPr="00DE4EC1">
              <w:rPr>
                <w:rFonts w:ascii="Times New Roman" w:hAnsi="Times New Roman" w:cs="Times New Roman"/>
              </w:rPr>
              <w:t>по развитию и эксплуатации спортивной инфраструктуры</w:t>
            </w:r>
          </w:p>
        </w:tc>
        <w:tc>
          <w:tcPr>
            <w:tcW w:w="1772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190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13 муниципальных районах созданы </w:t>
            </w:r>
            <w:r w:rsidRPr="008A0A41">
              <w:rPr>
                <w:sz w:val="24"/>
                <w:szCs w:val="24"/>
              </w:rPr>
              <w:t>малые спортивные площадки</w:t>
            </w:r>
          </w:p>
        </w:tc>
        <w:tc>
          <w:tcPr>
            <w:tcW w:w="4536" w:type="dxa"/>
          </w:tcPr>
          <w:p w:rsidR="00E845FB" w:rsidRPr="00B03D47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845FB" w:rsidRPr="00B03D47" w:rsidTr="00E50545">
        <w:tc>
          <w:tcPr>
            <w:tcW w:w="834" w:type="dxa"/>
          </w:tcPr>
          <w:p w:rsidR="00E845FB" w:rsidRDefault="00E845FB" w:rsidP="00E8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2960" w:type="dxa"/>
            <w:vAlign w:val="center"/>
          </w:tcPr>
          <w:p w:rsidR="00E845FB" w:rsidRDefault="00E845FB" w:rsidP="00E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3:</w:t>
            </w:r>
          </w:p>
          <w:p w:rsidR="00E845FB" w:rsidRDefault="00E845FB" w:rsidP="00E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A0A41">
              <w:rPr>
                <w:rFonts w:ascii="Times New Roman" w:hAnsi="Times New Roman" w:cs="Times New Roman"/>
              </w:rPr>
              <w:t>Количество поставленных искусственных покрытий для футбольных полей, созданных при организациях спортивной подготовки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E845FB" w:rsidRPr="00B3579F" w:rsidRDefault="00E845FB" w:rsidP="00E8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Соболев А.Н. – заведующий отделом </w:t>
            </w:r>
            <w:r w:rsidRPr="00DE4EC1">
              <w:rPr>
                <w:rFonts w:ascii="Times New Roman" w:hAnsi="Times New Roman" w:cs="Times New Roman"/>
              </w:rPr>
              <w:t>по развитию и эксплуатации спортивной инфраструктуры</w:t>
            </w:r>
          </w:p>
        </w:tc>
        <w:tc>
          <w:tcPr>
            <w:tcW w:w="1772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190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Поставлено и уложено 1 футбольное поле на ст. «Локомотив»</w:t>
            </w:r>
          </w:p>
        </w:tc>
        <w:tc>
          <w:tcPr>
            <w:tcW w:w="4536" w:type="dxa"/>
          </w:tcPr>
          <w:p w:rsidR="00E845FB" w:rsidRPr="00B03D47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E845FB" w:rsidRPr="00B03D47" w:rsidTr="00E50545">
        <w:tc>
          <w:tcPr>
            <w:tcW w:w="834" w:type="dxa"/>
          </w:tcPr>
          <w:p w:rsidR="00E845FB" w:rsidRDefault="00E845FB" w:rsidP="00E8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4.1.4</w:t>
            </w:r>
          </w:p>
        </w:tc>
        <w:tc>
          <w:tcPr>
            <w:tcW w:w="2960" w:type="dxa"/>
            <w:vAlign w:val="center"/>
          </w:tcPr>
          <w:p w:rsidR="00E845FB" w:rsidRDefault="00E845FB" w:rsidP="00E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событие 4:</w:t>
            </w:r>
          </w:p>
          <w:p w:rsidR="00E845FB" w:rsidRDefault="00E845FB" w:rsidP="00E84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C24628">
              <w:rPr>
                <w:rFonts w:ascii="Times New Roman" w:hAnsi="Times New Roman" w:cs="Times New Roman"/>
              </w:rPr>
              <w:t>Количество спортивных школ олимпийского резерва в которые поставлены новые спортивные оборудование и инвентарь для приведения организаций спортивной подготовки в нормативное состояние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vAlign w:val="center"/>
          </w:tcPr>
          <w:p w:rsidR="00E845FB" w:rsidRPr="00B3579F" w:rsidRDefault="00E845FB" w:rsidP="00E84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Соболев А.Н. – заведующий отделом </w:t>
            </w:r>
            <w:r w:rsidRPr="00DE4EC1">
              <w:rPr>
                <w:rFonts w:ascii="Times New Roman" w:hAnsi="Times New Roman" w:cs="Times New Roman"/>
              </w:rPr>
              <w:t>по развитию и эксплуатации спортивной инфраструктуры</w:t>
            </w:r>
          </w:p>
        </w:tc>
        <w:tc>
          <w:tcPr>
            <w:tcW w:w="1772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</w:t>
            </w:r>
          </w:p>
        </w:tc>
        <w:tc>
          <w:tcPr>
            <w:tcW w:w="3190" w:type="dxa"/>
          </w:tcPr>
          <w:p w:rsidR="00E845FB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5 спортивных школ олимпийского резерва поставлено новое спортивное</w:t>
            </w:r>
            <w:r w:rsidRPr="00C24628">
              <w:rPr>
                <w:sz w:val="24"/>
                <w:szCs w:val="24"/>
              </w:rPr>
              <w:t xml:space="preserve"> оборудование и инвентарь</w:t>
            </w:r>
          </w:p>
        </w:tc>
        <w:tc>
          <w:tcPr>
            <w:tcW w:w="4536" w:type="dxa"/>
          </w:tcPr>
          <w:p w:rsidR="00E845FB" w:rsidRPr="00B03D47" w:rsidRDefault="00E845FB" w:rsidP="00E845F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A14C5" w:rsidRPr="00B03D47" w:rsidRDefault="00BA14C5" w:rsidP="00BA14C5">
      <w:pPr>
        <w:pStyle w:val="ConsPlusNormal"/>
        <w:ind w:firstLine="709"/>
        <w:jc w:val="center"/>
      </w:pPr>
    </w:p>
    <w:p w:rsidR="00BA14C5" w:rsidRPr="00B03D47" w:rsidRDefault="00BA14C5" w:rsidP="00BA14C5">
      <w:pPr>
        <w:pStyle w:val="ConsPlusNormal"/>
        <w:ind w:firstLine="709"/>
        <w:jc w:val="center"/>
      </w:pPr>
    </w:p>
    <w:p w:rsidR="00BA14C5" w:rsidRPr="00B03D47" w:rsidRDefault="00BA14C5" w:rsidP="00BA14C5">
      <w:pPr>
        <w:pStyle w:val="ConsPlusNormal"/>
        <w:ind w:firstLine="709"/>
        <w:jc w:val="center"/>
      </w:pPr>
      <w:r w:rsidRPr="00B03D47">
        <w:t>______________</w:t>
      </w:r>
    </w:p>
    <w:p w:rsidR="00BA14C5" w:rsidRPr="00B03D47" w:rsidRDefault="00BA14C5" w:rsidP="00BA14C5">
      <w:pPr>
        <w:pStyle w:val="ConsPlusNormal"/>
        <w:ind w:firstLine="709"/>
        <w:jc w:val="both"/>
      </w:pPr>
    </w:p>
    <w:p w:rsidR="00BA14C5" w:rsidRPr="00B03D47" w:rsidRDefault="00BA14C5" w:rsidP="00BA14C5">
      <w:pPr>
        <w:pStyle w:val="ConsPlusNormal"/>
        <w:ind w:firstLine="709"/>
        <w:jc w:val="right"/>
      </w:pPr>
    </w:p>
    <w:p w:rsidR="00BA14C5" w:rsidRPr="00B03D47" w:rsidRDefault="00BA14C5" w:rsidP="00BA14C5">
      <w:pPr>
        <w:pStyle w:val="ConsPlusNormal"/>
        <w:ind w:firstLine="709"/>
        <w:jc w:val="right"/>
      </w:pPr>
    </w:p>
    <w:p w:rsidR="00BA14C5" w:rsidRDefault="00BA14C5" w:rsidP="00BA14C5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br w:type="page"/>
      </w:r>
    </w:p>
    <w:p w:rsidR="00BA14C5" w:rsidRPr="00B03D47" w:rsidRDefault="00BA14C5" w:rsidP="00BA14C5">
      <w:pPr>
        <w:pStyle w:val="ConsPlusNormal"/>
        <w:ind w:firstLine="709"/>
        <w:jc w:val="right"/>
      </w:pPr>
      <w:r w:rsidRPr="00B03D47">
        <w:lastRenderedPageBreak/>
        <w:t>Приложение 6</w:t>
      </w:r>
    </w:p>
    <w:p w:rsidR="00BA14C5" w:rsidRPr="00B03D47" w:rsidRDefault="00BA14C5" w:rsidP="00BA14C5">
      <w:pPr>
        <w:pStyle w:val="ConsPlusNormal"/>
        <w:ind w:firstLine="709"/>
        <w:jc w:val="both"/>
      </w:pPr>
    </w:p>
    <w:p w:rsidR="00BA14C5" w:rsidRPr="00B03D47" w:rsidRDefault="00BA14C5" w:rsidP="00BA14C5">
      <w:pPr>
        <w:pStyle w:val="ConsPlusNormal"/>
        <w:ind w:firstLine="709"/>
        <w:jc w:val="center"/>
        <w:rPr>
          <w:b/>
        </w:rPr>
      </w:pPr>
    </w:p>
    <w:p w:rsidR="00BA14C5" w:rsidRPr="0026752E" w:rsidRDefault="00BA14C5" w:rsidP="00BA14C5">
      <w:pPr>
        <w:pStyle w:val="ConsPlusNormal"/>
        <w:jc w:val="center"/>
        <w:rPr>
          <w:b/>
        </w:rPr>
      </w:pPr>
      <w:r w:rsidRPr="0026752E">
        <w:rPr>
          <w:b/>
        </w:rPr>
        <w:t>Сведения о выполнении контрольных событий</w:t>
      </w:r>
    </w:p>
    <w:p w:rsidR="004F529F" w:rsidRPr="004F529F" w:rsidRDefault="00BA14C5" w:rsidP="004F529F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529F">
        <w:rPr>
          <w:rFonts w:ascii="Times New Roman" w:hAnsi="Times New Roman" w:cs="Times New Roman"/>
          <w:b/>
          <w:sz w:val="28"/>
          <w:szCs w:val="28"/>
        </w:rPr>
        <w:t>Плана реализации государственной программы Забайкальского края</w:t>
      </w:r>
      <w:r w:rsidR="004F529F" w:rsidRPr="004F52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9F">
        <w:rPr>
          <w:rFonts w:ascii="Times New Roman" w:hAnsi="Times New Roman" w:cs="Times New Roman"/>
          <w:b/>
          <w:sz w:val="28"/>
          <w:szCs w:val="28"/>
        </w:rPr>
        <w:t>«</w:t>
      </w:r>
      <w:r w:rsidR="004F529F" w:rsidRPr="004F529F">
        <w:rPr>
          <w:rFonts w:ascii="Times New Roman" w:hAnsi="Times New Roman" w:cs="Times New Roman"/>
          <w:b/>
          <w:color w:val="auto"/>
          <w:sz w:val="28"/>
          <w:szCs w:val="28"/>
        </w:rPr>
        <w:t>Развитие физической культуры и спорта в Забайкальском крае» за 2019 год.</w:t>
      </w:r>
    </w:p>
    <w:p w:rsidR="004F529F" w:rsidRPr="004F529F" w:rsidRDefault="004F529F" w:rsidP="004F529F">
      <w:pPr>
        <w:pStyle w:val="ConsPlusNormal"/>
        <w:ind w:firstLine="709"/>
        <w:jc w:val="center"/>
        <w:rPr>
          <w:u w:val="single"/>
          <w:lang w:bidi="ru-RU"/>
        </w:rPr>
      </w:pPr>
      <w:r w:rsidRPr="004F529F">
        <w:rPr>
          <w:u w:val="single"/>
          <w:lang w:bidi="ru-RU"/>
        </w:rPr>
        <w:t>Министерство физической культуры и спорта Забайкальского края</w:t>
      </w:r>
    </w:p>
    <w:p w:rsidR="00BA14C5" w:rsidRPr="004F529F" w:rsidRDefault="00BA14C5" w:rsidP="004F529F">
      <w:pPr>
        <w:pStyle w:val="ConsPlusNormal"/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8"/>
        <w:gridCol w:w="4138"/>
        <w:gridCol w:w="2936"/>
        <w:gridCol w:w="2920"/>
        <w:gridCol w:w="2028"/>
        <w:gridCol w:w="2586"/>
      </w:tblGrid>
      <w:tr w:rsidR="00BA14C5" w:rsidRPr="00B03D47" w:rsidTr="00D82DDC">
        <w:tc>
          <w:tcPr>
            <w:tcW w:w="668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№</w:t>
            </w:r>
          </w:p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38" w:type="dxa"/>
            <w:vAlign w:val="center"/>
          </w:tcPr>
          <w:p w:rsidR="00BA14C5" w:rsidRPr="001315EB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315EB">
              <w:rPr>
                <w:b/>
                <w:sz w:val="24"/>
                <w:szCs w:val="24"/>
              </w:rPr>
              <w:t>Наименование государственной программы,</w:t>
            </w:r>
          </w:p>
          <w:p w:rsidR="00BA14C5" w:rsidRPr="001315EB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315EB">
              <w:rPr>
                <w:b/>
                <w:sz w:val="24"/>
                <w:szCs w:val="24"/>
              </w:rPr>
              <w:t xml:space="preserve">подпрограмм государственной программы </w:t>
            </w:r>
          </w:p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Количество запланированных контрольных событий</w:t>
            </w:r>
          </w:p>
          <w:p w:rsidR="00BA14C5" w:rsidRPr="00B03D47" w:rsidRDefault="00BA14C5" w:rsidP="004F529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 на </w:t>
            </w:r>
            <w:r w:rsidR="004F529F">
              <w:rPr>
                <w:b/>
                <w:sz w:val="24"/>
                <w:szCs w:val="24"/>
              </w:rPr>
              <w:t>2019</w:t>
            </w:r>
            <w:r w:rsidRPr="00B03D4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20" w:type="dxa"/>
            <w:vAlign w:val="center"/>
          </w:tcPr>
          <w:p w:rsidR="00BA14C5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>выполненных</w:t>
            </w:r>
          </w:p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контрольных событий </w:t>
            </w:r>
          </w:p>
          <w:p w:rsidR="00BA14C5" w:rsidRPr="00B03D47" w:rsidRDefault="00BA14C5" w:rsidP="004F529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в </w:t>
            </w:r>
            <w:r w:rsidR="004F529F">
              <w:rPr>
                <w:b/>
                <w:sz w:val="24"/>
                <w:szCs w:val="24"/>
              </w:rPr>
              <w:t>2019</w:t>
            </w:r>
            <w:r w:rsidRPr="00B03D47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028" w:type="dxa"/>
            <w:vAlign w:val="center"/>
          </w:tcPr>
          <w:p w:rsidR="00BA14C5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не выполненных мероприятий</w:t>
            </w:r>
          </w:p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(в том числе частично)</w:t>
            </w:r>
          </w:p>
        </w:tc>
        <w:tc>
          <w:tcPr>
            <w:tcW w:w="2586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Причины не выполнения мероприятия, предложения по дальнейшей реализации</w:t>
            </w:r>
          </w:p>
        </w:tc>
      </w:tr>
      <w:tr w:rsidR="00BA14C5" w:rsidRPr="00B03D47" w:rsidTr="00D82DDC">
        <w:tc>
          <w:tcPr>
            <w:tcW w:w="668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8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6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20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28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6" w:type="dxa"/>
            <w:vAlign w:val="center"/>
          </w:tcPr>
          <w:p w:rsidR="00BA14C5" w:rsidRPr="00B03D47" w:rsidRDefault="00BA14C5" w:rsidP="00D82DDC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</w:tr>
      <w:tr w:rsidR="00776EC1" w:rsidRPr="00B03D47" w:rsidTr="00D82DDC">
        <w:tc>
          <w:tcPr>
            <w:tcW w:w="668" w:type="dxa"/>
            <w:vAlign w:val="center"/>
          </w:tcPr>
          <w:p w:rsidR="00776EC1" w:rsidRPr="00776EC1" w:rsidRDefault="00776EC1" w:rsidP="00D82DDC">
            <w:pPr>
              <w:pStyle w:val="ConsPlusNormal"/>
              <w:jc w:val="center"/>
              <w:rPr>
                <w:sz w:val="24"/>
                <w:szCs w:val="24"/>
              </w:rPr>
            </w:pPr>
            <w:r w:rsidRPr="00776EC1"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vAlign w:val="center"/>
          </w:tcPr>
          <w:p w:rsidR="00776EC1" w:rsidRPr="00776EC1" w:rsidRDefault="00776EC1" w:rsidP="00776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6EC1">
              <w:rPr>
                <w:rFonts w:ascii="Times New Roman" w:hAnsi="Times New Roman" w:cs="Times New Roman"/>
              </w:rPr>
              <w:t>Итого по государственной программе</w:t>
            </w:r>
          </w:p>
        </w:tc>
        <w:tc>
          <w:tcPr>
            <w:tcW w:w="2936" w:type="dxa"/>
            <w:vAlign w:val="center"/>
          </w:tcPr>
          <w:p w:rsidR="00776EC1" w:rsidRPr="00776EC1" w:rsidRDefault="009D19ED" w:rsidP="00D82DD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20" w:type="dxa"/>
            <w:vAlign w:val="center"/>
          </w:tcPr>
          <w:p w:rsidR="00776EC1" w:rsidRPr="00776EC1" w:rsidRDefault="009D19ED" w:rsidP="00D82DD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28" w:type="dxa"/>
            <w:vAlign w:val="center"/>
          </w:tcPr>
          <w:p w:rsidR="00776EC1" w:rsidRPr="00776EC1" w:rsidRDefault="00776EC1" w:rsidP="00D82DD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86" w:type="dxa"/>
            <w:vAlign w:val="center"/>
          </w:tcPr>
          <w:p w:rsidR="00776EC1" w:rsidRPr="00776EC1" w:rsidRDefault="00776EC1" w:rsidP="00D82DD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529F" w:rsidRPr="00B03D47" w:rsidTr="00D82DDC">
        <w:tc>
          <w:tcPr>
            <w:tcW w:w="668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4F529F" w:rsidRPr="00776EC1" w:rsidRDefault="004F529F" w:rsidP="00776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6EC1">
              <w:rPr>
                <w:rFonts w:ascii="Times New Roman" w:hAnsi="Times New Roman" w:cs="Times New Roman"/>
              </w:rPr>
              <w:t>Подпрограмма «Развитие массового спорта в Забайкальском крае»</w:t>
            </w:r>
          </w:p>
        </w:tc>
        <w:tc>
          <w:tcPr>
            <w:tcW w:w="2936" w:type="dxa"/>
          </w:tcPr>
          <w:p w:rsidR="004F529F" w:rsidRPr="00776EC1" w:rsidRDefault="009D19ED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:rsidR="004F529F" w:rsidRPr="00776EC1" w:rsidRDefault="009D19ED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86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529F" w:rsidRPr="00B03D47" w:rsidTr="00D82DDC">
        <w:tc>
          <w:tcPr>
            <w:tcW w:w="668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4F529F" w:rsidRPr="00776EC1" w:rsidRDefault="004F529F" w:rsidP="00776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6EC1">
              <w:rPr>
                <w:rFonts w:ascii="Times New Roman" w:hAnsi="Times New Roman" w:cs="Times New Roman"/>
              </w:rPr>
              <w:t>Подпрограмма «Подготовка спортивного резерва в Забайкальском крае»</w:t>
            </w:r>
          </w:p>
        </w:tc>
        <w:tc>
          <w:tcPr>
            <w:tcW w:w="2936" w:type="dxa"/>
          </w:tcPr>
          <w:p w:rsidR="004F529F" w:rsidRPr="00B03D47" w:rsidRDefault="009D19ED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0" w:type="dxa"/>
          </w:tcPr>
          <w:p w:rsidR="004F529F" w:rsidRPr="00B03D47" w:rsidRDefault="009D19ED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86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529F" w:rsidRPr="00B03D47" w:rsidTr="00D82DDC">
        <w:tc>
          <w:tcPr>
            <w:tcW w:w="668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4F529F" w:rsidRPr="00776EC1" w:rsidRDefault="004F529F" w:rsidP="00776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6EC1">
              <w:rPr>
                <w:rFonts w:ascii="Times New Roman" w:hAnsi="Times New Roman" w:cs="Times New Roman"/>
              </w:rPr>
              <w:t>Подпрограмма «Обеспечивающая подпрограмма»</w:t>
            </w:r>
          </w:p>
        </w:tc>
        <w:tc>
          <w:tcPr>
            <w:tcW w:w="2936" w:type="dxa"/>
          </w:tcPr>
          <w:p w:rsidR="004F529F" w:rsidRPr="00B03D47" w:rsidRDefault="009D19ED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20" w:type="dxa"/>
          </w:tcPr>
          <w:p w:rsidR="004F529F" w:rsidRPr="00B03D47" w:rsidRDefault="009D19ED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86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529F" w:rsidRPr="00B03D47" w:rsidTr="00D82DDC">
        <w:tc>
          <w:tcPr>
            <w:tcW w:w="668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4F529F" w:rsidRPr="00776EC1" w:rsidRDefault="00776EC1" w:rsidP="00776E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  <w:r w:rsidR="004F529F" w:rsidRPr="00776EC1">
              <w:rPr>
                <w:rFonts w:ascii="Times New Roman" w:hAnsi="Times New Roman" w:cs="Times New Roman"/>
              </w:rPr>
              <w:t xml:space="preserve"> «Развитие материально-технической базы отрасли </w:t>
            </w:r>
            <w:r>
              <w:rPr>
                <w:rFonts w:ascii="Times New Roman" w:hAnsi="Times New Roman" w:cs="Times New Roman"/>
              </w:rPr>
              <w:t>«</w:t>
            </w:r>
            <w:r w:rsidR="004F529F" w:rsidRPr="00776EC1">
              <w:rPr>
                <w:rFonts w:ascii="Times New Roman" w:hAnsi="Times New Roman" w:cs="Times New Roman"/>
              </w:rPr>
              <w:t>Физическая культура и спорт»</w:t>
            </w:r>
          </w:p>
        </w:tc>
        <w:tc>
          <w:tcPr>
            <w:tcW w:w="2936" w:type="dxa"/>
          </w:tcPr>
          <w:p w:rsidR="004F529F" w:rsidRPr="00B03D47" w:rsidRDefault="009D19ED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20" w:type="dxa"/>
          </w:tcPr>
          <w:p w:rsidR="004F529F" w:rsidRPr="00B03D47" w:rsidRDefault="009D19ED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86" w:type="dxa"/>
          </w:tcPr>
          <w:p w:rsidR="004F529F" w:rsidRPr="00B03D47" w:rsidRDefault="00776EC1" w:rsidP="004F529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A14C5" w:rsidRPr="00B03D47" w:rsidRDefault="00BA14C5" w:rsidP="00BA14C5">
      <w:pPr>
        <w:pStyle w:val="ConsPlusNormal"/>
        <w:ind w:firstLine="709"/>
        <w:jc w:val="center"/>
      </w:pPr>
    </w:p>
    <w:p w:rsidR="00BA14C5" w:rsidRPr="00B03D47" w:rsidRDefault="00BA14C5" w:rsidP="00BA14C5">
      <w:pPr>
        <w:pStyle w:val="ConsPlusNormal"/>
        <w:ind w:firstLine="709"/>
        <w:jc w:val="center"/>
      </w:pPr>
      <w:r w:rsidRPr="00B03D47">
        <w:t>_____________</w:t>
      </w:r>
    </w:p>
    <w:p w:rsidR="00BA14C5" w:rsidRPr="00B03D47" w:rsidRDefault="00BA14C5" w:rsidP="00BA14C5">
      <w:pPr>
        <w:pStyle w:val="ConsPlusNormal"/>
        <w:ind w:firstLine="709"/>
        <w:jc w:val="both"/>
      </w:pPr>
    </w:p>
    <w:p w:rsidR="00CF3ADE" w:rsidRDefault="00CF3ADE"/>
    <w:sectPr w:rsidR="00CF3ADE" w:rsidSect="00BA1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42"/>
    <w:rsid w:val="004473EE"/>
    <w:rsid w:val="004F529F"/>
    <w:rsid w:val="006066A7"/>
    <w:rsid w:val="006233C5"/>
    <w:rsid w:val="006B55E4"/>
    <w:rsid w:val="00776EC1"/>
    <w:rsid w:val="008063C3"/>
    <w:rsid w:val="00857504"/>
    <w:rsid w:val="0085765C"/>
    <w:rsid w:val="0099772B"/>
    <w:rsid w:val="009D19ED"/>
    <w:rsid w:val="00A73242"/>
    <w:rsid w:val="00AC58C0"/>
    <w:rsid w:val="00BA14C5"/>
    <w:rsid w:val="00BD726B"/>
    <w:rsid w:val="00CF3ADE"/>
    <w:rsid w:val="00D53135"/>
    <w:rsid w:val="00E845FB"/>
    <w:rsid w:val="00EA6352"/>
    <w:rsid w:val="00F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FE08"/>
  <w15:chartTrackingRefBased/>
  <w15:docId w15:val="{D98207FA-63A9-4FBD-8CA4-7407063C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52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14C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A14C5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BA14C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2020-01-22T04:42:00Z</dcterms:created>
  <dcterms:modified xsi:type="dcterms:W3CDTF">2020-02-04T23:59:00Z</dcterms:modified>
</cp:coreProperties>
</file>