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Минздрава России от 14.04.2025 N 213н</w:t>
              <w:br/>
              <w:t xml:space="preserve">"Об утверждении порядка оказания несовершеннолетним медицинской помощи, в том числе в период обучения и воспитания в образовательных организациях"</w:t>
              <w:br/>
              <w:t xml:space="preserve">(Зарегистрировано в Минюсте России 26.05.2025 N 82322)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09.06.2026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26 мая 2025 г. N 82322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ЗДРАВООХРАНЕНИЯ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14 апреля 2025 г. N 213н</w:t>
      </w:r>
    </w:p>
    <w:p>
      <w:pPr>
        <w:pStyle w:val="2"/>
        <w:ind w:firstLine="54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ПОРЯДКА</w:t>
      </w:r>
    </w:p>
    <w:p>
      <w:pPr>
        <w:pStyle w:val="2"/>
        <w:jc w:val="center"/>
      </w:pPr>
      <w:r>
        <w:rPr>
          <w:sz w:val="24"/>
        </w:rPr>
        <w:t xml:space="preserve">ОКАЗАНИЯ НЕСОВЕРШЕННОЛЕТНИМ МЕДИЦИНСКОЙ ПОМОЩИ,</w:t>
      </w:r>
    </w:p>
    <w:p>
      <w:pPr>
        <w:pStyle w:val="2"/>
        <w:jc w:val="center"/>
      </w:pPr>
      <w:r>
        <w:rPr>
          <w:sz w:val="24"/>
        </w:rPr>
        <w:t xml:space="preserve">В ТОМ ЧИСЛЕ В ПЕРИОД ОБУЧЕНИЯ И ВОСПИТАНИЯ</w:t>
      </w:r>
    </w:p>
    <w:p>
      <w:pPr>
        <w:pStyle w:val="2"/>
        <w:jc w:val="center"/>
      </w:pPr>
      <w:r>
        <w:rPr>
          <w:sz w:val="24"/>
        </w:rPr>
        <w:t xml:space="preserve">В ОБРАЗОВАТЕЛЬНЫХ ОРГАНИЗАЦИЯХ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со </w:t>
      </w:r>
      <w:hyperlink w:history="0" r:id="rId8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статьей 54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и </w:t>
      </w:r>
      <w:hyperlink w:history="0" r:id="rId9" w:tooltip="Постановление Правительства РФ от 19.06.2012 N 608 (ред. от 19.02.2026) &quot;Об утверждении Положения о Министерстве здравоохранения Российской Федерации&quot; (с изм. и доп., вступ. в силу с 01.03.2026) {КонсультантПлюс}">
        <w:r>
          <w:rPr>
            <w:sz w:val="24"/>
            <w:color w:val="0000ff"/>
          </w:rPr>
          <w:t xml:space="preserve">подпунктом 5.2.60 пункта 5</w:t>
        </w:r>
      </w:hyperlink>
      <w:r>
        <w:rPr>
          <w:sz w:val="24"/>
        </w:rP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</w:t>
      </w:r>
      <w:hyperlink w:history="0" w:anchor="P34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оказания несовершеннолетним медицинской помощи, в том числе в период обучения и воспитания в образовательных организациях, согласно приложению к настоящему приказу.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утратившими силу:</w:t>
      </w:r>
    </w:p>
    <w:p>
      <w:pPr>
        <w:pStyle w:val="0"/>
        <w:spacing w:before="240" w:lineRule="auto"/>
        <w:ind w:firstLine="540"/>
        <w:jc w:val="both"/>
      </w:pPr>
      <w:hyperlink w:history="0" r:id="rId10" w:tooltip="Приказ Минздрава России от 05.11.2013 N 822н (ред. от 21.02.2020) &quot;Об утверждении Порядка оказания медицинской помощи несовершеннолетним, в том числе в период обучения и воспитания в образовательных организациях&quot; (Зарегистрировано в Минюсте России 17.01.2014 N 31045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здравоохранения Российской Федерации от 5 ноября 2013 г. N 822н "Об утверждении Порядка оказания медицинской помощи несовершеннолетним, в том числе в период обучения и воспитания в образовательных организациях" (зарегистрирован Министерством юстиции Российской Федерации 17 января 2014 г., регистрационный N 31045);</w:t>
      </w:r>
    </w:p>
    <w:p>
      <w:pPr>
        <w:pStyle w:val="0"/>
        <w:spacing w:before="240" w:lineRule="auto"/>
        <w:ind w:firstLine="540"/>
        <w:jc w:val="both"/>
      </w:pPr>
      <w:hyperlink w:history="0" r:id="rId11" w:tooltip="Приказ Минздрава России от 03.09.2015 N 613н &quot;О внесении изменения в Порядок оказания медицинской помощи несовершеннолетним, в том числе в период обучения и воспитания в образовательных организациях, утвержденный приказом Министерства здравоохранения Российской Федерации от 5 ноября 2013 г. N 822н&quot; (Зарегистрировано в Минюсте России 29.10.2015 N 39538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здравоохранения Российской Федерации от 3 сентября 2015 г. N 613н "О внесении изменения в Порядок оказания медицинской помощи несовершеннолетним, в том числе в период обучения и воспитания в образовательных организациях, утвержденный приказом Министерства здравоохранения Российской Федерации от 5 ноября 2013 г. N 822н" (зарегистрирован Министерством юстиции Российской Федерации 29 октября 2015 г., регистрационный N 39538);</w:t>
      </w:r>
    </w:p>
    <w:p>
      <w:pPr>
        <w:pStyle w:val="0"/>
        <w:spacing w:before="240" w:lineRule="auto"/>
        <w:ind w:firstLine="540"/>
        <w:jc w:val="both"/>
      </w:pPr>
      <w:hyperlink w:history="0" r:id="rId12" w:tooltip="Приказ Минздрава России от 21.02.2020 N 114н (ред. от 29.10.2024) &quot;О внесении изменений в отдельные приказы Министерства здравоохранения и социального развития Российской Федерации и Министерства здравоохранения Российской Федерации, утверждающие порядки оказания медицинской помощи&quot; (Зарегистрировано в Минюсте России 28.07.2020 N 59083) ------------ Недействующая редакция {КонсультантПлюс}">
        <w:r>
          <w:rPr>
            <w:sz w:val="24"/>
            <w:color w:val="0000ff"/>
          </w:rPr>
          <w:t xml:space="preserve">пункт 34</w:t>
        </w:r>
      </w:hyperlink>
      <w:r>
        <w:rPr>
          <w:sz w:val="24"/>
        </w:rPr>
        <w:t xml:space="preserve"> приказа Министерства здравоохранения Российской Федерации от 21 февраля 2020 г. N 114н "О внесении изменений в отдельные приказы Министерства здравоохранения и социального развития Российской Федерации и Министерства здравоохранения Российской Федерации, утверждающие порядки оказания медицинской помощи" (зарегистрирован Министерством юстиции Российской Федерации 28 июля 2020 г., регистрационный N 59083).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Настоящий приказ вступает в силу с 1 сентября 2025 года и действует до 1 сентября 2031 года.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М.А.МУРАШКО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апреля 2025 г. N 213н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34" w:name="P34"/>
    <w:bookmarkEnd w:id="34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ОКАЗАНИЯ НЕСОВЕРШЕННОЛЕТНИМ МЕДИЦИНСКОЙ ПОМОЩИ,</w:t>
      </w:r>
    </w:p>
    <w:p>
      <w:pPr>
        <w:pStyle w:val="2"/>
        <w:jc w:val="center"/>
      </w:pPr>
      <w:r>
        <w:rPr>
          <w:sz w:val="24"/>
        </w:rPr>
        <w:t xml:space="preserve">В ТОМ ЧИСЛЕ В ПЕРИОД ОБУЧЕНИЯ И ВОСПИТАНИЯ</w:t>
      </w:r>
    </w:p>
    <w:p>
      <w:pPr>
        <w:pStyle w:val="2"/>
        <w:jc w:val="center"/>
      </w:pPr>
      <w:r>
        <w:rPr>
          <w:sz w:val="24"/>
        </w:rPr>
        <w:t xml:space="preserve">В ОБРАЗОВАТЕЛЬНЫХ ОРГАНИЗАЦИЯХ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Порядок распространяется на образовательные организации и организации, осуществляющие обучение по основным общеобразовательным программам - образовательным программам дошкольного образования, начального общего образования, основного общего образования, среднего общего образования, дополнительным общеразвивающим программам (далее - образовательные организации) вне зависимости от организационно-правовой формы.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Организация оказания первичной медико-санитарной помощи несовершеннолетним в возрасте до 18 лет (далее - обучающиеся) в период обучения и воспитания в образовательных организациях осуществляется исполнительными органами субъектов Российской Федерации в сфере охраны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Условия оказания медицинской помощи обучающимся, включая определение медицинских организаций, оказывающих первичную медико-санитарную помощь несовершеннолетним в период обучения и воспитания в образовательных организациях, устанавливают исполнительные органы субъектов Российской Федерации. &lt;1&gt;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13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Пункт 1 части 1 статьи 54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(далее - Федеральный закон N 323-ФЗ).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 Первичная медико-санитарная помощь в экстренной и неотложной форме, в том числе при внезапных острых заболеваниях, состояниях, обострении хронических заболеваний, произошедших во время пребывания в образовательной организации, а также проведение мероприятий по профилактике заболеваний, формированию здорового образа жизни и санитарно-гигиеническому просвещению оказывается обучающимся в медицинских пунктах образовательных организаций (далее - медицинский пункт).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Первичная медико-санитарная помощь обучающимся в плановой форме оказывается в медицинской организации, выбранной в соответствии с Федеральным </w:t>
      </w:r>
      <w:hyperlink w:history="0" r:id="rId14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N 323-ФЗ.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Первичная медико-санитарная помощь обучающимся в период обучения и воспитания в образовательных организациях осуществляется в образовательной организации либо в случаях, установленных органами государственной власти субъектов Российской Федерации, в медицинской организации &lt;2&gt;.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</w:t>
      </w:r>
      <w:hyperlink w:history="0" r:id="rId15" w:tooltip="Федеральный закон от 29.12.2012 N 273-ФЗ (ред. от 25.04.2026) &quot;Об образовании в Российской Федерации&quot; {КонсультантПлюс}">
        <w:r>
          <w:rPr>
            <w:sz w:val="24"/>
            <w:color w:val="0000ff"/>
          </w:rPr>
          <w:t xml:space="preserve">Часть 3 статьи 41</w:t>
        </w:r>
      </w:hyperlink>
      <w:r>
        <w:rPr>
          <w:sz w:val="24"/>
        </w:rPr>
        <w:t xml:space="preserve"> Федерального закона от 29 декабря 2012 г. N 273-ФЗ "Об образовании в Российской Федерации" (далее - Федеральный закон N 273-ФЗ).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Медицинский пункт является структурным подразделением медицинской организации или образовательной организации в случаях, когда образовательная организация осуществляет наряду с уставной - медицинскую деятельность в порядке, установленном законодательством в сфере охраны здоровья &lt;3&gt;.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</w:t>
      </w:r>
      <w:hyperlink w:history="0" r:id="rId16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Пункт 11 статьи 2</w:t>
        </w:r>
      </w:hyperlink>
      <w:r>
        <w:rPr>
          <w:sz w:val="24"/>
        </w:rPr>
        <w:t xml:space="preserve"> Федерального закона N 323-ФЗ.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8. В случае оказания первичной медико-санитарной помощи обучающимся медицинской организацией медицинский пункт предусматривается в структуре отделения медицинской помощи несовершеннолетним в образовательных организациях.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При оказании первичной медико-санитарной помощи обучающимся в образовательной организации образовательная организация обязана предоставить безвозмездно медицинской организации помещение, соответствующее условиям и требованиям для оказания указанной помощи &lt;4&gt;.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&lt;4&gt; </w:t>
      </w:r>
      <w:hyperlink w:history="0" r:id="rId17" w:tooltip="Федеральный закон от 29.12.2012 N 273-ФЗ (ред. от 25.04.2026) &quot;Об образовании в Российской Федерации&quot; {КонсультантПлюс}">
        <w:r>
          <w:rPr>
            <w:sz w:val="24"/>
            <w:color w:val="0000ff"/>
          </w:rPr>
          <w:t xml:space="preserve">Часть 3 статьи 41</w:t>
        </w:r>
      </w:hyperlink>
      <w:r>
        <w:rPr>
          <w:sz w:val="24"/>
        </w:rPr>
        <w:t xml:space="preserve"> Федерального закона N 273-ФЗ.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10. Первичная медико-санитарная помощь обучающимся оказывается врачами-педиатрами, фельдшерами, медицинскими сестрами - специалистами по оказанию медицинской помощи обучающимся (медицинскими братьями - специалистами по оказанию медицинской помощи обучающимся), а также медицинскими сестрами (медицинскими братьями).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После оказания первичной доврачебной и первичной врачебной медико-санитарной помощи обучающимся при наличии показаний медицинские работники медицинского пункта направляют обучающегося в медицинскую организацию, выбранную им в соответствии с Федеральным </w:t>
      </w:r>
      <w:hyperlink w:history="0" r:id="rId18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N 323-ФЗ, с выдачей справки, содержащей информацию об обращении обучающегося за медицинской помощью в медицинский пункт, объеме и виде оказанной медицинской помощи, а также в случае необходимости - другую уточняющую информацию о состоянии здоровья на момент осмотра, выданной в соответствии с </w:t>
      </w:r>
      <w:hyperlink w:history="0" r:id="rId19" w:tooltip="Приказ Минздрава России от 14.09.2020 N 972н (ред. от 12.11.2021) &quot;Об утверждении Порядка выдачи медицинскими организациями справок и медицинских заключений&quot; (Зарегистрировано в Минюсте России 04.12.2020 N 61261) {КонсультантПлюс}">
        <w:r>
          <w:rPr>
            <w:sz w:val="24"/>
            <w:color w:val="0000ff"/>
          </w:rPr>
          <w:t xml:space="preserve">Порядком</w:t>
        </w:r>
      </w:hyperlink>
      <w:r>
        <w:rPr>
          <w:sz w:val="24"/>
        </w:rPr>
        <w:t xml:space="preserve"> выдачи медицинскими организациями справок и медицинских заключений, утвержденным приказом Министерства здравоохранения Российской Федерации от 14 сентября 2020 г. N 927н &lt;5&gt; (далее - Порядок выдачи).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&lt;5&gt; Зарегистрирован Министерством юстиции Российской Федерации 4 декабря 2020 г., регистрационный N 61261), с изменениями, внесенными приказом Министерства здравоохранения Российской Федерации от 12 ноября 2021 г. N 1049н "О внесении изменений в Порядок выдачи медицинскими организациями справок и медицинских заключений, утвержденный приказом Министерства здравоохранения Российской Федерации от 14 сентября 2020 г. N 972н" (зарегистрирован Министерством юстиции Российской Федерации 25 ноября 2021 г., регистрационный N 65976), срок действия до 1 января 2027 года.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12. При заболеваниях, несчастных случаях, травмах, отравлениях и других состояниях, требующих срочного медицинского вмешательства, должен быть обеспечен вызов бригады скорой медицинской помощи.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При оказании медицинской помощи несовершеннолетнему по экстренным показаниям для устранения угрозы жизни без согласия родителей (законных представителей) &lt;6&gt; медицинский работник информирует его родителей (законных представителей) об оказанной медицинской помощи.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&lt;6&gt; </w:t>
      </w:r>
      <w:hyperlink w:history="0" r:id="rId20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Пункт 1 части 9 статьи 20</w:t>
        </w:r>
      </w:hyperlink>
      <w:r>
        <w:rPr>
          <w:sz w:val="24"/>
        </w:rPr>
        <w:t xml:space="preserve"> Федерального закона N 323-ФЗ.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14. При организации прохождения несовершеннолетними профилактических медицинских осмотров обучающихся в период обучения и воспитания в образовательных организациях образовательная организация оказывает содействие в информировании обучающихся, их родителей или иных законных представителей о необходимости оформления информированного добровольного согласия на медицинское вмешательство или отказа от медицинского вмешательства в отношении определенного вида медицинского вмешательства и обеспечивает передачу медицинских и иных документов медицинским работникам медицинского пункта.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На основании письменного заявления в адрес руководителя образовательной организации родителя или иного законного представителя обучающегося, а также при условии предоставления справки, содержащей наименование, дату назначения лекарственного препарата для медицинского применения или специализированного продукта лечебного питания, дозировку, кратность приема и длительность применения, выданной в соответствии с </w:t>
      </w:r>
      <w:hyperlink w:history="0" r:id="rId21" w:tooltip="Приказ Минздрава России от 14.09.2020 N 972н (ред. от 12.11.2021) &quot;Об утверждении Порядка выдачи медицинскими организациями справок и медицинских заключений&quot; (Зарегистрировано в Минюсте России 04.12.2020 N 61261) {КонсультантПлюс}">
        <w:r>
          <w:rPr>
            <w:sz w:val="24"/>
            <w:color w:val="0000ff"/>
          </w:rPr>
          <w:t xml:space="preserve">Порядком</w:t>
        </w:r>
      </w:hyperlink>
      <w:r>
        <w:rPr>
          <w:sz w:val="24"/>
        </w:rPr>
        <w:t xml:space="preserve"> выдачи, медицинские работники медицинского пункта обеспечивают применение лекарственных препаратов для медицинского применения и специализированных продуктов лечебного питания обучающимися, находящимися на диспансерном наблюдении с хроническими заболеваниями, требующими соблюдения назначенного лечащим врачом режима лечения, в том числе детям-инвалидам.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Лекарственные препараты для медицинского применения и специализированные продукты лечебного питания передаются медицинскому работнику медицинского пункта родителем или иным законным представителем обучающегося в запечатанном виде с хорошо просматривающейся датой изготовления и срока годности, а также распиской родителя или иного законного представителя обучающегося, написанной собственноручно в свободной форме, о соблюдении надлежащих требований хранения и транспортировки лекарственных препаратов для медицинского применения и специализированных продуктов лечебного питания.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Медицинский работник медицинского пункта не принимает от родителей или иных законных представителей обучающегося лекарственные препараты для медицинского применения и специализированные продукты лечебного питания в случаях, когда имеются сомнения в соблюдении условий хранения лекарственных препаратов для медицинского применения и специализированных продуктов лечебного питания до момента передачи, повреждение упаковки, а также указания на истекающий срок годности.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Образовательная организация обеспечивает условия хранения лекарственных препаратов для медицинского применения и специализированных продуктов лечебного питания, соответствующие инструкциям по их применению.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Информация, включающая фамилию, имя, отчество (при наличии) ребенка, дату рождения, аллергические реакции на лекарственные препараты, пищевую аллергию и иные виды непереносимости в анамнезе, с указанием типа и вида аллергической реакции, наименование лекарственного препарата и (или) специализированного продукта лечебного питания, лекарственную форму, дозировку, способ применения, отметки о применении лекарственного препарата и (или) специализированного продукта лечебного питания (дата, время, подпись медицинского работника медицинского пункта), сведения о реакции на применение (при наличии) вносится в свободной форме в журнал учета применения лекарственных препаратов и специализированных продуктов лечебного питания на каждого обучающегося, нуждающегося в соблюдении режима лечения по назначению лечащего врача.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20. Медицинский пункт осуществляет свою деятельность в соответствии с </w:t>
      </w:r>
      <w:hyperlink w:history="0" w:anchor="P91" w:tooltip="ПОЛОЖЕНИЕ">
        <w:r>
          <w:rPr>
            <w:sz w:val="24"/>
            <w:color w:val="0000ff"/>
          </w:rPr>
          <w:t xml:space="preserve">приложениями N 1</w:t>
        </w:r>
      </w:hyperlink>
      <w:r>
        <w:rPr>
          <w:sz w:val="24"/>
        </w:rPr>
        <w:t xml:space="preserve"> - </w:t>
      </w:r>
      <w:hyperlink w:history="0" w:anchor="P199" w:tooltip="СТАНДАРТ">
        <w:r>
          <w:rPr>
            <w:sz w:val="24"/>
            <w:color w:val="0000ff"/>
          </w:rPr>
          <w:t xml:space="preserve">3</w:t>
        </w:r>
      </w:hyperlink>
      <w:r>
        <w:rPr>
          <w:sz w:val="24"/>
        </w:rPr>
        <w:t xml:space="preserve"> к настоящему Порядку.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Порядку оказания несовершеннолетним</w:t>
      </w:r>
    </w:p>
    <w:p>
      <w:pPr>
        <w:pStyle w:val="0"/>
        <w:jc w:val="right"/>
      </w:pPr>
      <w:r>
        <w:rPr>
          <w:sz w:val="24"/>
        </w:rPr>
        <w:t xml:space="preserve">медицинской помощи, в том числе в период</w:t>
      </w:r>
    </w:p>
    <w:p>
      <w:pPr>
        <w:pStyle w:val="0"/>
        <w:jc w:val="right"/>
      </w:pPr>
      <w:r>
        <w:rPr>
          <w:sz w:val="24"/>
        </w:rPr>
        <w:t xml:space="preserve">обучения и воспитания в образовательных</w:t>
      </w:r>
    </w:p>
    <w:p>
      <w:pPr>
        <w:pStyle w:val="0"/>
        <w:jc w:val="right"/>
      </w:pPr>
      <w:r>
        <w:rPr>
          <w:sz w:val="24"/>
        </w:rPr>
        <w:t xml:space="preserve">организациях,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апреля 2025 г. N 213н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91" w:name="P91"/>
    <w:bookmarkEnd w:id="91"/>
    <w:p>
      <w:pPr>
        <w:pStyle w:val="2"/>
        <w:jc w:val="center"/>
      </w:pPr>
      <w:r>
        <w:rPr>
          <w:sz w:val="24"/>
        </w:rPr>
        <w:t xml:space="preserve">ПОЛОЖЕНИЕ</w:t>
      </w:r>
    </w:p>
    <w:p>
      <w:pPr>
        <w:pStyle w:val="2"/>
        <w:jc w:val="center"/>
      </w:pPr>
      <w:r>
        <w:rPr>
          <w:sz w:val="24"/>
        </w:rPr>
        <w:t xml:space="preserve">ОБ ОРГАНИЗАЦИИ МЕДИЦИНСКОГО ПУНКТА</w:t>
      </w:r>
    </w:p>
    <w:p>
      <w:pPr>
        <w:pStyle w:val="2"/>
        <w:jc w:val="center"/>
      </w:pPr>
      <w:r>
        <w:rPr>
          <w:sz w:val="24"/>
        </w:rPr>
        <w:t xml:space="preserve">ОБРАЗОВАТЕЛЬНОЙ ОРГАНИЗАЦИИ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Медицинский пункт является самостоятельным структурным подразделением медицинской организации либо входит в иное структурное подразделение медицинской организации либо является самостоятельной структурной единицей образовательной организации, осуществляющей наряду с уставной - медицинскую деятельность в порядке, установленном законодательством Российской Федерации в сфере охраны здоровья &lt;1&gt;, и оказывает медицинскую помощь несовершеннолетним в возрасте до 18 лет, обучающимся в образовательных организациях, реализующих основные образовательные программы (далее - обучающиеся).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22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Пункт 11 статьи 2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(далее - Федеральный закон N 323-ФЗ).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 Целью деятельности медицинского пункта является оказание обучающимся первичной медико-санитарной помощи в экстренной форме и неотложной форме, в том числе при внезапных острых заболеваниях, состояниях, обострении хронических заболеваний, а также профилактика заболеваний.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Медицинский пункт состоит из: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кабинета врача-педиатра/фельдшера/медицинской сестры-специалиста по оказанию медицинской помощи обучающимся;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процедурного кабинета.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Медицинский пункт осуществляет свою деятельность в соответствии с действующими санитарно-эпидемиологическими нормами и правилами.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В медицинском пункте образовательной организации дополнительно могут быть предусмотрены кабинеты охраны зрения детей, детский стоматологический кабинет, кабинет лечебной физкультуры (далее - иные подразделения), а также должности медицинских работников этих кабинетов, в соответствии с действующим законодательством Российской Федерации в сфере охраны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Штатная численность медицинского пункта устанавливается руководителем медицинской или образовательной организации, в составе которой он создан, с учетом объема оказываемой медицинской помощи и проводимой профилактической работы, численности несовершеннолетних в образовательных организациях.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Рекомендуемая штатная численность медицинского пункта предусмотрена </w:t>
      </w:r>
      <w:hyperlink w:history="0" w:anchor="P166" w:tooltip="РЕКОМЕНДУЕМЫЕ ШТАТНЫЕ НОРМАТИВЫ">
        <w:r>
          <w:rPr>
            <w:sz w:val="24"/>
            <w:color w:val="0000ff"/>
          </w:rPr>
          <w:t xml:space="preserve">приложением N 2</w:t>
        </w:r>
      </w:hyperlink>
      <w:r>
        <w:rPr>
          <w:sz w:val="24"/>
        </w:rPr>
        <w:t xml:space="preserve"> к Порядку оказания несовершеннолетним медицинской помощи, в том числе в период обучения и воспитания в образовательных организациях, утвержденному настоящим приказом (далее - Порядок).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районов с низкой плотностью населения и ограниченной транспортной доступностью медицинских организаций количество медицинского персонала медицинского пункта устанавливается исходя из меньшей численности обучающихся.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На должность врача-педиатра медицинского пункта назначается медицинский работник, соответствующий квалификационным требованиям к медицинским и фармацевтическим работникам с высшим образованием, утверждаемым в соответствии с </w:t>
      </w:r>
      <w:hyperlink w:history="0" r:id="rId23" w:tooltip="Постановление Правительства РФ от 19.06.2012 N 608 (ред. от 19.02.2026) &quot;Об утверждении Положения о Министерстве здравоохранения Российской Федерации&quot; (с изм. и доп., вступ. в силу с 01.03.2026) {КонсультантПлюс}">
        <w:r>
          <w:rPr>
            <w:sz w:val="24"/>
            <w:color w:val="0000ff"/>
          </w:rPr>
          <w:t xml:space="preserve">подпунктом 5.2.2 пункта 5</w:t>
        </w:r>
      </w:hyperlink>
      <w:r>
        <w:rPr>
          <w:sz w:val="24"/>
        </w:rP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(далее - Положение о Минздраве), по направлению подготовки "Здравоохранение и медицинские науки" по специальности "педиатрия" или "лечебное дело" и имеющий подготовку в интернатуре/ординатуре по специальности "педиатрия".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На должность фельдшера медицинского пункта назначается медицинский работник, имеющий среднее образование по специальности "Лечебное дело".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На должность медицинской сестры-специалиста по оказанию медицинской помощи обучающимся (медицинского брата-специалиста по оказанию медицинской помощи обучающимся) медицинского пункта назначается медицинский работник, соответствующий квалификационным требованиям к медицинским и фармацевтическим работникам с высшим образованием, утверждаемым в соответствии </w:t>
      </w:r>
      <w:hyperlink w:history="0" r:id="rId24" w:tooltip="Постановление Правительства РФ от 19.06.2012 N 608 (ред. от 19.02.2026) &quot;Об утверждении Положения о Министерстве здравоохранения Российской Федерации&quot; (с изм. и доп., вступ. в силу с 01.03.2026) {КонсультантПлюс}">
        <w:r>
          <w:rPr>
            <w:sz w:val="24"/>
            <w:color w:val="0000ff"/>
          </w:rPr>
          <w:t xml:space="preserve">подпунктом с 5.2.2 пункта 5</w:t>
        </w:r>
      </w:hyperlink>
      <w:r>
        <w:rPr>
          <w:sz w:val="24"/>
        </w:rPr>
        <w:t xml:space="preserve"> Положения о Минздраве, по специальности "Сестринское дело", а также требованиям профессионального </w:t>
      </w:r>
      <w:hyperlink w:history="0" r:id="rId25" w:tooltip="Приказ Минтруда России от 31.07.2020 N 481н &quot;Об утверждении профессионального стандарта &quot;Специалист по оказанию медицинской помощи несовершеннолетним обучающимся в образовательных организациях&quot; (Зарегистрировано в Минюсте России 28.08.2020 N 59581) {КонсультантПлюс}">
        <w:r>
          <w:rPr>
            <w:sz w:val="24"/>
            <w:color w:val="0000ff"/>
          </w:rPr>
          <w:t xml:space="preserve">стандарта</w:t>
        </w:r>
      </w:hyperlink>
      <w:r>
        <w:rPr>
          <w:sz w:val="24"/>
        </w:rPr>
        <w:t xml:space="preserve"> "Специалист по оказанию медицинской помощи обучающимся в образовательных организациях" &lt;2&gt;.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</w:t>
      </w:r>
      <w:hyperlink w:history="0" r:id="rId26" w:tooltip="Приказ Минтруда России от 31.07.2020 N 481н &quot;Об утверждении профессионального стандарта &quot;Специалист по оказанию медицинской помощи несовершеннолетним обучающимся в образовательных организациях&quot; (Зарегистрировано в Минюсте России 28.08.2020 N 59581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труда и социальной защиты Российской Федерации от 31 июля 2020 г. N 481н "Об утверждении профессионального стандарта "Специалист по оказанию медицинской помощи несовершеннолетним обучающимся в образовательных организациях" (зарегистрирован Министерством юстиции Российской Федерации 28 августа 2020 г., регистрационный N 59581).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10. На должность медицинской сестры (медицинского брата) медицинского пункта назначается медицинский работник в соответствии с квалификационными требованиями к медицинским и фармацевтическим работникам со средним медицинским и фармацевтическим образованием, утверждаемыми в соответствии </w:t>
      </w:r>
      <w:hyperlink w:history="0" r:id="rId27" w:tooltip="Постановление Правительства РФ от 19.06.2012 N 608 (ред. от 19.02.2026) &quot;Об утверждении Положения о Министерстве здравоохранения Российской Федерации&quot; (с изм. и доп., вступ. в силу с 01.03.2026) {КонсультантПлюс}">
        <w:r>
          <w:rPr>
            <w:sz w:val="24"/>
            <w:color w:val="0000ff"/>
          </w:rPr>
          <w:t xml:space="preserve">подпунктом с 5.2.2 пункта 5</w:t>
        </w:r>
      </w:hyperlink>
      <w:r>
        <w:rPr>
          <w:sz w:val="24"/>
        </w:rPr>
        <w:t xml:space="preserve"> Положения о Минздраве, по специальности "Сестринское дело в педиатрии".</w:t>
      </w:r>
    </w:p>
    <w:bookmarkStart w:id="115" w:name="P115"/>
    <w:bookmarkEnd w:id="11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Оснащение медицинского пункта осуществляется в соответствии со стандартом оснащения медицинского пункта образовательной организации, предусмотренным </w:t>
      </w:r>
      <w:hyperlink w:history="0" w:anchor="P199" w:tooltip="СТАНДАРТ">
        <w:r>
          <w:rPr>
            <w:sz w:val="24"/>
            <w:color w:val="0000ff"/>
          </w:rPr>
          <w:t xml:space="preserve">приложением N 3</w:t>
        </w:r>
      </w:hyperlink>
      <w:r>
        <w:rPr>
          <w:sz w:val="24"/>
        </w:rPr>
        <w:t xml:space="preserve"> к Порядку.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Медицинская организация или образовательная организация в случае, если образовательная организация осуществляет наряду с уставной - медицинскую деятельность в порядке, установленном законодательством Российской Федерации в сфере охраны здоровья &lt;3&gt;, обеспечивает медицинский пункт лекарственными препаратами для медицинского применения, предусмотренные Порядком.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</w:t>
      </w:r>
      <w:hyperlink w:history="0" r:id="rId28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Пункт 11 статьи 2</w:t>
        </w:r>
      </w:hyperlink>
      <w:r>
        <w:rPr>
          <w:sz w:val="24"/>
        </w:rPr>
        <w:t xml:space="preserve"> Федерального закона N 323-ФЗ.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медицинском пункте предусматривается наличие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помощи, укомплектованной в соответствии с требованиями к комплектации лекарственными препаратами и медицинскими изделиями.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медицинском пункте должны быть предусмотрены одноразовые медицинские изделия и расходные материалы, в том числе перчатки медицинские, халаты медицинские, маски медицинские, шапочки хирургические, шпатели для языка смотровые, шприцы, перевязочные материалы, включая бинты, стерильные салфетки, лейкопластырь, а также лекарственные препараты для оказания медицинской помощи детям при анафилактическом шоке.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Медицинский пункт образовательной организации осуществляет следующие функции: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оказание обучающимся первичной медико-санитарной помощи в экстренной и неотложной форме, в том числе при внезапных острых заболеваниях, состояниях, обострении хронических заболеваний;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направление обучающихся при наличии медицинских показаний в медицинскую организацию, в том числе выбранную обучающимся или его родителем (законным представителем) в соответствии с Федеральным </w:t>
      </w:r>
      <w:hyperlink w:history="0" r:id="rId29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N 323-ФЗ;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организацию и проведение работы по иммунопрофилактике в образовательных организациях;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организацию и проведение противоэпидемических и профилактических мероприятий по предупреждению распространения инфекционных и паразитарных заболеваний в образовательных организациях;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участие в организации профилактических медицинских осмотров обучающихся и анализе полученных по результатам профилактических медицинских осмотров данных;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участие в анализе состояния санитарно-гигиенических условий и организации процесса воспитания и обучения, в том числе питания, физического воспитания обучающих, а также трудового обучения;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работу по формированию групп обучающихся повышенного медико-социального и биологического риска формирования расстройств здоровья для оптимальной организации процессов обучения и воспитания, оказания медицинской помощи, в том числе коррекции нарушений здоровья и развития;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участие в анализе состояния здоровья обучающихся, подготовке предложений по приоритетам при разработке профилактических, коррекционных мероприятий, реализуемых в образовательных организациях;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участие в подготовке предложений и внедрении конкретных медико-социальных и психологических технологий сохранения, укрепления и восстановления здоровья обучающихся в условиях образовательных организаций;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взаимодействие с врачами-педиатрами участковыми, врачами-специалистами медицинских организаций, психологами и педагогами образовательных организаций, администрацией образовательных организаций по вопросам укрепления здоровья обучающихся;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методическое обеспечение совместно с психологами и педагогами образовательных организаций работы по формированию у обучающихся устойчивых стереотипов здорового образа жизни и поведения, не сопряженного с риском для здоровья;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участие в оздоровлении обучающихся в период организованного отдыха;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участие в организации в условиях образовательных организаций работы по коррекции нарушений здоровья обучающихся, снижающих возможности их социальной адаптации, ограничивающих возможности обучения, выбора профессии, подготовки к военной службе в рамках полномочий;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участие в гигиеническом контроле средств обучения и воспитания (включая электронные средства обучения) и их использования в процессах обучения и воспитания (в том числе при онлайн-обучении);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проведение санитарно-гигиенической просветительной работы среди обучающихся, их родителей и иных законных представителей, педагогов по вопросам профилактики заболеваний обучающихся и формированию здорового образа жизни;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взаимодействие с территориальными органами Федеральной службы по надзору в сфере защиты прав потребителей и благополучия человека по вопросу охраны здоровья обучающихся;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своевременное направление извещения в территориальные органы Федеральной службы по надзору в сфере защиты прав потребителей и благополучия человека об инфекционном или паразитарном заболевании, пищевом, остром отравлении, поствакцинальном осложнении;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информирование органов внутренних дел об обращении за медицинской помощью обучающихся, в отношении которых имеются основания полагать, что вред их здоровью причинен в результате противоправных действий;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участие в работе психолого-медико-педагогической комиссии;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участие в организации условий образовательной работы с обучающимися с ограниченными возможностями здоровья (далее - ОВЗ) по адаптированным программам обучения с учетом имеющихся ограничений здоровья и прав детей;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применения лекарственных препаратов для медицинского применения и (или) специализированных продуктов лечебного питания обучающимися, нуждающимися в соблюдении режима лечения, необходимость которого подтверждена справкой, выданной в соответствии с </w:t>
      </w:r>
      <w:hyperlink w:history="0" r:id="rId30" w:tooltip="Приказ Минздрава России от 14.09.2020 N 972н (ред. от 12.11.2021) &quot;Об утверждении Порядка выдачи медицинскими организациями справок и медицинских заключений&quot; (Зарегистрировано в Минюсте России 04.12.2020 N 61261) {КонсультантПлюс}">
        <w:r>
          <w:rPr>
            <w:sz w:val="24"/>
            <w:color w:val="0000ff"/>
          </w:rPr>
          <w:t xml:space="preserve">порядком</w:t>
        </w:r>
      </w:hyperlink>
      <w:r>
        <w:rPr>
          <w:sz w:val="24"/>
        </w:rPr>
        <w:t xml:space="preserve"> выдачи медицинскими организациями справок и медицинских заключений &lt;4&gt;;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&lt;4&gt; Утвержден Приказом Министерства здравоохранения Российской Федерации России от 14 сентября 2020 г. N 972н "Об утверждении Порядка выдачи медицинскими организациями справок и медицинских заключений" (зарегистрирован Министерством юстиции Российской Федерации 4 декабря 2020 г., регистрационный N 61261), с изменениями, внесенными приказом Министерства здравоохранения Российской Федерации от 12 ноября 2021 г., N 1049н "О внесении изменений в Порядок выдачи медицинскими организациями справок и медицинских заключений, утвержденный приказом Министерства здравоохранения Российской Федерации от 14 сентября 2020 г. N 972н" (зарегистрирован Министерством юстиции Российской Федерации 25 ноября 2021 г., регистрационный N 65976), срок действия до 1 января 2027 года.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осуществление ведения медицинской документации и представление отчетности по видам, формам, в сроки и в объеме, которые установлены уполномоченным федеральным органом исполнительной власти &lt;5&gt;.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&lt;5&gt; </w:t>
      </w:r>
      <w:hyperlink w:history="0" r:id="rId31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Пункт 11 части 1 статьи 79</w:t>
        </w:r>
      </w:hyperlink>
      <w:r>
        <w:rPr>
          <w:sz w:val="24"/>
        </w:rPr>
        <w:t xml:space="preserve"> Федерального закона N 323-ФЗ.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13. Врач-педиатр/фельдшер/медицинская сестра-специалист по оказанию медицинской помощи обучающимся (медицинский брат-специалист по оказанию медицинской помощи обучающимся) и медицинская сестра медицинского пункта осуществляют свои должностные обязанности в соответствии с функциями медицинского пункта образовательной организации, определенными </w:t>
      </w:r>
      <w:hyperlink w:history="0" w:anchor="P115" w:tooltip="11. Оснащение медицинского пункта осуществляется в соответствии со стандартом оснащения медицинского пункта образовательной организации, предусмотренным приложением N 3 к Порядку.">
        <w:r>
          <w:rPr>
            <w:sz w:val="24"/>
            <w:color w:val="0000ff"/>
          </w:rPr>
          <w:t xml:space="preserve">пунктом 11</w:t>
        </w:r>
      </w:hyperlink>
      <w:r>
        <w:rPr>
          <w:sz w:val="24"/>
        </w:rPr>
        <w:t xml:space="preserve"> настоящего Положения.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Порядку оказания несовершеннолетним</w:t>
      </w:r>
    </w:p>
    <w:p>
      <w:pPr>
        <w:pStyle w:val="0"/>
        <w:jc w:val="right"/>
      </w:pPr>
      <w:r>
        <w:rPr>
          <w:sz w:val="24"/>
        </w:rPr>
        <w:t xml:space="preserve">медицинской помощи, в том числе в период</w:t>
      </w:r>
    </w:p>
    <w:p>
      <w:pPr>
        <w:pStyle w:val="0"/>
        <w:jc w:val="right"/>
      </w:pPr>
      <w:r>
        <w:rPr>
          <w:sz w:val="24"/>
        </w:rPr>
        <w:t xml:space="preserve">обучения и воспитания в образовательных</w:t>
      </w:r>
    </w:p>
    <w:p>
      <w:pPr>
        <w:pStyle w:val="0"/>
        <w:jc w:val="right"/>
      </w:pPr>
      <w:r>
        <w:rPr>
          <w:sz w:val="24"/>
        </w:rPr>
        <w:t xml:space="preserve">организациях,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апреля 2025 г. N 213н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66" w:name="P166"/>
    <w:bookmarkEnd w:id="166"/>
    <w:p>
      <w:pPr>
        <w:pStyle w:val="2"/>
        <w:jc w:val="center"/>
      </w:pPr>
      <w:r>
        <w:rPr>
          <w:sz w:val="24"/>
        </w:rPr>
        <w:t xml:space="preserve">РЕКОМЕНДУЕМЫЕ ШТАТНЫЕ НОРМАТИВЫ</w:t>
      </w:r>
    </w:p>
    <w:p>
      <w:pPr>
        <w:pStyle w:val="2"/>
        <w:jc w:val="center"/>
      </w:pPr>
      <w:r>
        <w:rPr>
          <w:sz w:val="24"/>
        </w:rPr>
        <w:t xml:space="preserve">МЕДИЦИНСКИХ РАБОТНИКОВ МЕДИЦИНСКОГО ПУНКТА</w:t>
      </w:r>
    </w:p>
    <w:p>
      <w:pPr>
        <w:pStyle w:val="2"/>
        <w:jc w:val="center"/>
      </w:pPr>
      <w:r>
        <w:rPr>
          <w:sz w:val="24"/>
        </w:rPr>
        <w:t xml:space="preserve">ОБРАЗОВАТЕЛЬНОЙ ОРГАНИЗАЦИИ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2834"/>
        <w:gridCol w:w="5669"/>
      </w:tblGrid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8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566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штатных единиц</w:t>
            </w:r>
          </w:p>
        </w:tc>
      </w:tr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834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Врач-педиатр/фельдшер/медицинская сестра-специалист по оказанию медицинской помощи обучающимся (медицинский брат-специалист по оказанию медицинской помощи обучающимся)</w:t>
            </w:r>
          </w:p>
        </w:tc>
        <w:tc>
          <w:tcPr>
            <w:tcW w:w="5669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должность на: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5669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180 - 200 несовершеннолетних в детских яслях (ясельных группах детских яслей-садов) дошкольных образовательных организаций;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400 несовершеннолетних в детских садах (соответствующих группах в детских яслях-садах) дошкольных образовательных организаций;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1000 несовершеннолетних общеобразовательных организаций.</w:t>
            </w:r>
          </w:p>
        </w:tc>
      </w:tr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83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</w:t>
            </w:r>
          </w:p>
        </w:tc>
        <w:tc>
          <w:tcPr>
            <w:tcW w:w="5669" w:type="dxa"/>
            <w:vAlign w:val="bottom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должность на: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5669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100 несовершеннолетних в детских яслях (ясельных группах детских яслей-садов) дошкольных образовательных организаций;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100 несовершеннолетних в детских садах (соответствующих группах в детских яслях-садах) дошкольных образовательных организаций;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100 - 500 несовершеннолетних общеобразовательных организаций.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Порядку оказания несовершеннолетним</w:t>
      </w:r>
    </w:p>
    <w:p>
      <w:pPr>
        <w:pStyle w:val="0"/>
        <w:jc w:val="right"/>
      </w:pPr>
      <w:r>
        <w:rPr>
          <w:sz w:val="24"/>
        </w:rPr>
        <w:t xml:space="preserve">медицинской помощи, в том числе в период</w:t>
      </w:r>
    </w:p>
    <w:p>
      <w:pPr>
        <w:pStyle w:val="0"/>
        <w:jc w:val="right"/>
      </w:pPr>
      <w:r>
        <w:rPr>
          <w:sz w:val="24"/>
        </w:rPr>
        <w:t xml:space="preserve">обучения и воспитания в образовательных</w:t>
      </w:r>
    </w:p>
    <w:p>
      <w:pPr>
        <w:pStyle w:val="0"/>
        <w:jc w:val="right"/>
      </w:pPr>
      <w:r>
        <w:rPr>
          <w:sz w:val="24"/>
        </w:rPr>
        <w:t xml:space="preserve">организациях,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апреля 2025 г. N 213н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99" w:name="P199"/>
    <w:bookmarkEnd w:id="199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ОСНАЩЕНИЯ МЕДИЦИНСКОГО ПУНКТА ОБРАЗОВАТЕЛЬНОЙ ОРГАНИЗАЦИИ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Медицинские изделия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133"/>
        <w:gridCol w:w="1545"/>
        <w:gridCol w:w="3231"/>
        <w:gridCol w:w="2081"/>
        <w:gridCol w:w="1065"/>
      </w:tblGrid>
      <w:tr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классификации медицинских изделий </w:t>
            </w:r>
            <w:hyperlink w:history="0" w:anchor="P445" w:tooltip="&lt;1&gt; Часть 2 статьи 38 Федерального закона от 21 ноября 2011 г. N 323-ФЗ &quot;Об основах охраны здоровья граждан в Российской Федерации&quot;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классификацией медицинских изделий</w:t>
            </w:r>
          </w:p>
        </w:tc>
        <w:tc>
          <w:tcPr>
            <w:tcW w:w="20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оснащения (оборудования)</w:t>
            </w:r>
          </w:p>
        </w:tc>
        <w:tc>
          <w:tcPr>
            <w:tcW w:w="10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113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258800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Весы напольные, электронные</w:t>
            </w:r>
          </w:p>
        </w:tc>
        <w:tc>
          <w:tcPr>
            <w:tcW w:w="208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Весы медицинские</w:t>
            </w:r>
          </w:p>
        </w:tc>
        <w:tc>
          <w:tcPr>
            <w:tcW w:w="106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258840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Весы напольные, механические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157600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Ростомер медицинский</w:t>
            </w:r>
          </w:p>
        </w:tc>
        <w:tc>
          <w:tcPr>
            <w:tcW w:w="20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Ростомер медицинский</w:t>
            </w:r>
          </w:p>
        </w:tc>
        <w:tc>
          <w:tcPr>
            <w:tcW w:w="10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(наличие необходимо при отсутствии позиций 1 и 2)</w:t>
            </w:r>
          </w:p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370680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Весы напольные электронные с ростомером</w:t>
            </w:r>
          </w:p>
        </w:tc>
        <w:tc>
          <w:tcPr>
            <w:tcW w:w="20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Весы напольные с ростомером</w:t>
            </w:r>
          </w:p>
        </w:tc>
        <w:tc>
          <w:tcPr>
            <w:tcW w:w="10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13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216350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tcW w:w="208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Тонометр с набором возрастных манжет</w:t>
            </w:r>
          </w:p>
        </w:tc>
        <w:tc>
          <w:tcPr>
            <w:tcW w:w="106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216560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палец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122830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122850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портативный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216630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239410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Аппарат для измерения артериального давления анероидный механический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124550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Стетоскоп неавтоматизированный</w:t>
            </w:r>
          </w:p>
        </w:tc>
        <w:tc>
          <w:tcPr>
            <w:tcW w:w="20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Стетофонендоскоп</w:t>
            </w:r>
          </w:p>
        </w:tc>
        <w:tc>
          <w:tcPr>
            <w:tcW w:w="10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103780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Динамометр/измеритель силы щипка ручной, механический</w:t>
            </w:r>
          </w:p>
        </w:tc>
        <w:tc>
          <w:tcPr>
            <w:tcW w:w="20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Динамометр кистевой 2-х видов (для детей разных возрастных групп)</w:t>
            </w:r>
          </w:p>
        </w:tc>
        <w:tc>
          <w:tcPr>
            <w:tcW w:w="10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113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213220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Небулайзер настольный без подогрева</w:t>
            </w:r>
          </w:p>
        </w:tc>
        <w:tc>
          <w:tcPr>
            <w:tcW w:w="208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Портативный компрессорный небулайзер</w:t>
            </w:r>
          </w:p>
        </w:tc>
        <w:tc>
          <w:tcPr>
            <w:tcW w:w="106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202950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Ингалятор аэрозольный не вентиляционный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13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335240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Термометр капиллярный для измерения температуры тела пациента, на основе сплава галлия</w:t>
            </w:r>
          </w:p>
        </w:tc>
        <w:tc>
          <w:tcPr>
            <w:tcW w:w="208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Термометр медицинский, термометр медицинский бесконтактный</w:t>
            </w:r>
          </w:p>
        </w:tc>
        <w:tc>
          <w:tcPr>
            <w:tcW w:w="106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vMerge w:val="continue"/>
          </w:tcPr>
          <w:p/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126390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кожный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190040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Термометр электронный для непрерывного измерения температуры тела пациента, с питанием от батареи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13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300680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Система мониторинга глюкозы в крови для домашнего использования/использования у постели больного ИВД</w:t>
            </w:r>
          </w:p>
        </w:tc>
        <w:tc>
          <w:tcPr>
            <w:tcW w:w="208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Глюкометр с тест-полосками, ланцетами/скарификаторами</w:t>
            </w:r>
          </w:p>
        </w:tc>
        <w:tc>
          <w:tcPr>
            <w:tcW w:w="106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344110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Система мониторинга глюкозы ИВД, для домашнего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344120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Система мониторинга глюкозы ИВД, для использования вблизи пациента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300690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Глюкометр для индивидуального использования/использования у постели больного ИВД, питание от батареи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345190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Глюкометр ИВД, для домашнего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345200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Глюкометр ИВД, для использования вблизи пациента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300680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Система мониторинга глюкозы в крови для домашнего использования/использования у постели больного ИВД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118500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Проектор для проверки остроты зрения</w:t>
            </w:r>
          </w:p>
        </w:tc>
        <w:tc>
          <w:tcPr>
            <w:tcW w:w="20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Аппарат Рота с таблицей Сивцева-Орловой</w:t>
            </w:r>
          </w:p>
        </w:tc>
        <w:tc>
          <w:tcPr>
            <w:tcW w:w="10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172730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Воздуховод ротоглоточный, одноразового использования</w:t>
            </w:r>
          </w:p>
        </w:tc>
        <w:tc>
          <w:tcPr>
            <w:tcW w:w="20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 воздуховодов ротоглоточных одноразового использования</w:t>
            </w:r>
          </w:p>
        </w:tc>
        <w:tc>
          <w:tcPr>
            <w:tcW w:w="10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121180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Аппарат искусственной вентиляции легких, ручной, многоразового использования</w:t>
            </w:r>
          </w:p>
        </w:tc>
        <w:tc>
          <w:tcPr>
            <w:tcW w:w="20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Аппарат искусственной вентиляции легких Амбу (мешок Амбу)</w:t>
            </w:r>
          </w:p>
        </w:tc>
        <w:tc>
          <w:tcPr>
            <w:tcW w:w="10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260290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Лоток общего назначения, многоразового использования</w:t>
            </w:r>
          </w:p>
        </w:tc>
        <w:tc>
          <w:tcPr>
            <w:tcW w:w="20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Лоток медицинский</w:t>
            </w:r>
          </w:p>
        </w:tc>
        <w:tc>
          <w:tcPr>
            <w:tcW w:w="10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184200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Ширма прикроватная</w:t>
            </w:r>
          </w:p>
        </w:tc>
        <w:tc>
          <w:tcPr>
            <w:tcW w:w="20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Ширма</w:t>
            </w:r>
          </w:p>
        </w:tc>
        <w:tc>
          <w:tcPr>
            <w:tcW w:w="10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108710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Контейнер лабораторный общего назначения, многоразового использования</w:t>
            </w:r>
          </w:p>
        </w:tc>
        <w:tc>
          <w:tcPr>
            <w:tcW w:w="20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Мензурки градуированные</w:t>
            </w:r>
          </w:p>
        </w:tc>
        <w:tc>
          <w:tcPr>
            <w:tcW w:w="10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287660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Грелка согревающая термохимическая гелевая</w:t>
            </w:r>
          </w:p>
        </w:tc>
        <w:tc>
          <w:tcPr>
            <w:tcW w:w="20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Грелка медицинская</w:t>
            </w:r>
          </w:p>
        </w:tc>
        <w:tc>
          <w:tcPr>
            <w:tcW w:w="10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141410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Пакет для тепловой/холодовой терапии, многоразового использования</w:t>
            </w:r>
          </w:p>
        </w:tc>
        <w:tc>
          <w:tcPr>
            <w:tcW w:w="20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Пакет гипотермический</w:t>
            </w:r>
          </w:p>
        </w:tc>
        <w:tc>
          <w:tcPr>
            <w:tcW w:w="10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113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370570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Жгут для внутривенных манипуляций, многоразового использования</w:t>
            </w:r>
          </w:p>
        </w:tc>
        <w:tc>
          <w:tcPr>
            <w:tcW w:w="208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Жгут на верхнюю/нижнюю конечность, многоразового использования</w:t>
            </w:r>
          </w:p>
        </w:tc>
        <w:tc>
          <w:tcPr>
            <w:tcW w:w="106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210370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Жгут кровоостанавливающий на верхнюю/нижнюю конечность, ручной, многоразового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114030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Носилки портативные</w:t>
            </w:r>
          </w:p>
        </w:tc>
        <w:tc>
          <w:tcPr>
            <w:tcW w:w="20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Носилки мягкие бескаркасные</w:t>
            </w:r>
          </w:p>
        </w:tc>
        <w:tc>
          <w:tcPr>
            <w:tcW w:w="10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13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338210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Шина на конечность для оказания первой помощи, не формуемая, одноразового использования</w:t>
            </w:r>
          </w:p>
        </w:tc>
        <w:tc>
          <w:tcPr>
            <w:tcW w:w="208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Гибкая шина для иммобилизации верхних и нижних конечностей</w:t>
            </w:r>
          </w:p>
        </w:tc>
        <w:tc>
          <w:tcPr>
            <w:tcW w:w="106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352050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Шина на конечность для оказания первой помощи, формуемая, многоразового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363470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Шина на конечность для оказания первой помощи, не формуемая, многоразового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369080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Шина на конечность для оказания первой помощи, формуемая, одноразового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128020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Шина надувная для конечностей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157270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Матрас вакуумный для позиционирования пациента</w:t>
            </w:r>
          </w:p>
        </w:tc>
        <w:tc>
          <w:tcPr>
            <w:tcW w:w="20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Вакуумный матрас</w:t>
            </w:r>
          </w:p>
        </w:tc>
        <w:tc>
          <w:tcPr>
            <w:tcW w:w="10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186210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Повязка косыночная</w:t>
            </w:r>
          </w:p>
        </w:tc>
        <w:tc>
          <w:tcPr>
            <w:tcW w:w="20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Косынка</w:t>
            </w:r>
          </w:p>
        </w:tc>
        <w:tc>
          <w:tcPr>
            <w:tcW w:w="10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182800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Воротник для шейного отдела позвоночника, многоразового использования</w:t>
            </w:r>
          </w:p>
        </w:tc>
        <w:tc>
          <w:tcPr>
            <w:tcW w:w="20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Воротник Шанца</w:t>
            </w:r>
          </w:p>
        </w:tc>
        <w:tc>
          <w:tcPr>
            <w:tcW w:w="10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1 в 2-х размерах</w:t>
            </w:r>
          </w:p>
        </w:tc>
      </w:tr>
      <w:tr>
        <w:tc>
          <w:tcPr>
            <w:tcW w:w="113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270010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Стол для хирургических инструментов</w:t>
            </w:r>
          </w:p>
        </w:tc>
        <w:tc>
          <w:tcPr>
            <w:tcW w:w="208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Столик манипуляционный</w:t>
            </w:r>
          </w:p>
        </w:tc>
        <w:tc>
          <w:tcPr>
            <w:tcW w:w="106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270020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Тележка для медицинских инструментов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202390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Тележка медицинская универсальная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379410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Стойка тележки для транспортировки инструментов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182870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Система тележек для транспортировки инструментов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171650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Щипцы для перевязочного материала/универсальные, в форме пинцета, многоразового использования</w:t>
            </w:r>
          </w:p>
        </w:tc>
        <w:tc>
          <w:tcPr>
            <w:tcW w:w="20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Пинцет</w:t>
            </w:r>
          </w:p>
        </w:tc>
        <w:tc>
          <w:tcPr>
            <w:tcW w:w="10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169610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Щипцы для перевязочного материала/универсальные, в форме ножниц</w:t>
            </w:r>
          </w:p>
        </w:tc>
        <w:tc>
          <w:tcPr>
            <w:tcW w:w="20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Корнцанг</w:t>
            </w:r>
          </w:p>
        </w:tc>
        <w:tc>
          <w:tcPr>
            <w:tcW w:w="10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</w:t>
            </w:r>
          </w:p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116910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Ножницы для перевязочного материала многоразового использования</w:t>
            </w:r>
          </w:p>
        </w:tc>
        <w:tc>
          <w:tcPr>
            <w:tcW w:w="20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Ножницы</w:t>
            </w:r>
          </w:p>
        </w:tc>
        <w:tc>
          <w:tcPr>
            <w:tcW w:w="10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28.</w:t>
            </w:r>
          </w:p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335210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Сейф-термостат для хранения препаратов</w:t>
            </w:r>
          </w:p>
        </w:tc>
        <w:tc>
          <w:tcPr>
            <w:tcW w:w="20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Сейф для хранения медикаментов</w:t>
            </w:r>
          </w:p>
        </w:tc>
        <w:tc>
          <w:tcPr>
            <w:tcW w:w="10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13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29.</w:t>
            </w:r>
          </w:p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215850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Холодильник фармацевтический</w:t>
            </w:r>
          </w:p>
        </w:tc>
        <w:tc>
          <w:tcPr>
            <w:tcW w:w="208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Холодильник фармацевтический с морозильной камерой до - 20C</w:t>
            </w:r>
          </w:p>
        </w:tc>
        <w:tc>
          <w:tcPr>
            <w:tcW w:w="106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352580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Холодильник/морозильная камера фармацевтический, с питанием от сети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30.</w:t>
            </w:r>
          </w:p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149980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Пульсоксиметр</w:t>
            </w:r>
          </w:p>
        </w:tc>
        <w:tc>
          <w:tcPr>
            <w:tcW w:w="20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Пульсоксиметр</w:t>
            </w:r>
          </w:p>
        </w:tc>
        <w:tc>
          <w:tcPr>
            <w:tcW w:w="10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31.</w:t>
            </w:r>
          </w:p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261560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Термометр для холодильного оборудования</w:t>
            </w:r>
          </w:p>
        </w:tc>
        <w:tc>
          <w:tcPr>
            <w:tcW w:w="20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Термометр для фармацевтического холодильника</w:t>
            </w:r>
          </w:p>
        </w:tc>
        <w:tc>
          <w:tcPr>
            <w:tcW w:w="10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на холодильник</w:t>
            </w:r>
          </w:p>
        </w:tc>
      </w:tr>
      <w:tr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32.</w:t>
            </w:r>
          </w:p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334300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Термоконтейнер для транспортировки медицинских иммунобиологических препаратов</w:t>
            </w:r>
          </w:p>
        </w:tc>
        <w:tc>
          <w:tcPr>
            <w:tcW w:w="20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Термоконтейнер для транспортировки медицинских иммунобиологических препаратов</w:t>
            </w:r>
          </w:p>
        </w:tc>
        <w:tc>
          <w:tcPr>
            <w:tcW w:w="10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13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33.</w:t>
            </w:r>
          </w:p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187150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Стол для осмотра/терапевтических процедур, с питанием от сети</w:t>
            </w:r>
          </w:p>
        </w:tc>
        <w:tc>
          <w:tcPr>
            <w:tcW w:w="208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Кушетка медицинская</w:t>
            </w:r>
          </w:p>
        </w:tc>
        <w:tc>
          <w:tcPr>
            <w:tcW w:w="106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187220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Стол для осмотра/терапевтических процедур, с гидравлическим 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187250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Стол для осмотра/терапевтических процедур, механический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116920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Стол/кушетка массажный, без электропитания, портативный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116940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Стол/кушетка массажный, с питанием от сети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116990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Стол/кушетка массажный, без электропитания, непортативный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131950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Стойка для внутривенных вливаний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156900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Стеллаж для палаты пациента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259880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Кресло для осмотра/терапевтических процедур общего назначения, с электропитанием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5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260470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Стеллаж общего назначения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445" w:name="P445"/>
    <w:bookmarkEnd w:id="44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32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2 статьи 38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Прочее оборудование (оснащение)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6519"/>
        <w:gridCol w:w="1984"/>
      </w:tblGrid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651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штук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6519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врача/фельдшера/медицинской сестры-специалиста по оказанию медицинской помощи обучающимся: стол, стул (кресло), персональный компьютер с программным обеспечением и выходом в информационно-телекоммуникационную сеть "Интернет" и (или) в региональную (федеральную) защищенную сеть передачи данных, соответствующий требованиям информационной безопасности информационных систем, с которыми необходимо обеспечить взаимодействие, принтер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6519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медицинской сестры: стол, стул (кресло), персональный компьютер с программным обеспечением и выходом в информационно-телекоммуникационную сеть "Интернет" и (или) в региональную (федеральную) защищенную сеть передачи данных, соответствующий требованиям информационной безопасности информационных систем, с которыми необходимо обеспечить взаимодействие, принтер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6519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лекарственных средств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6519" w:type="dxa"/>
          </w:tcPr>
          <w:p>
            <w:pPr>
              <w:pStyle w:val="0"/>
            </w:pPr>
            <w:r>
              <w:rPr>
                <w:sz w:val="24"/>
              </w:rPr>
              <w:t xml:space="preserve">Диспенсер для мыла с расходными материалами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количеству кабинетов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6519" w:type="dxa"/>
          </w:tcPr>
          <w:p>
            <w:pPr>
              <w:pStyle w:val="0"/>
            </w:pPr>
            <w:r>
              <w:rPr>
                <w:sz w:val="24"/>
              </w:rPr>
              <w:t xml:space="preserve">Диспенсер для кожного антисептика с расходными материалами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количеству кабинетов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6519" w:type="dxa"/>
          </w:tcPr>
          <w:p>
            <w:pPr>
              <w:pStyle w:val="0"/>
            </w:pPr>
            <w:r>
              <w:rPr>
                <w:sz w:val="24"/>
              </w:rPr>
              <w:t xml:space="preserve">Диспенсер для бумажных полотенец с расходными материалами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количеству кабинетов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6519" w:type="dxa"/>
          </w:tcPr>
          <w:p>
            <w:pPr>
              <w:pStyle w:val="0"/>
            </w:pPr>
            <w:r>
              <w:rPr>
                <w:sz w:val="24"/>
              </w:rPr>
              <w:t xml:space="preserve">Ведро с педальной крышкой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на кабинет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6519" w:type="dxa"/>
          </w:tcPr>
          <w:p>
            <w:pPr>
              <w:pStyle w:val="0"/>
            </w:pPr>
            <w:r>
              <w:rPr>
                <w:sz w:val="24"/>
              </w:rPr>
              <w:t xml:space="preserve">Секундомер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6519" w:type="dxa"/>
          </w:tcPr>
          <w:p>
            <w:pPr>
              <w:pStyle w:val="0"/>
            </w:pPr>
            <w:r>
              <w:rPr>
                <w:sz w:val="24"/>
              </w:rPr>
              <w:t xml:space="preserve">Сантиметровая лента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6519" w:type="dxa"/>
          </w:tcPr>
          <w:p>
            <w:pPr>
              <w:pStyle w:val="0"/>
            </w:pPr>
            <w:r>
              <w:rPr>
                <w:sz w:val="24"/>
              </w:rPr>
              <w:t xml:space="preserve">Фонарик ручной для осмотра/терапевтических процедур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6519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медицинской документации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6519" w:type="dxa"/>
          </w:tcPr>
          <w:p>
            <w:pPr>
              <w:pStyle w:val="0"/>
            </w:pPr>
            <w:r>
              <w:rPr>
                <w:sz w:val="24"/>
              </w:rPr>
              <w:t xml:space="preserve">Емкости для дезинфицирующих средств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6519" w:type="dxa"/>
          </w:tcPr>
          <w:p>
            <w:pPr>
              <w:pStyle w:val="0"/>
            </w:pPr>
            <w:r>
              <w:rPr>
                <w:sz w:val="24"/>
              </w:rPr>
              <w:t xml:space="preserve">Емкости для сбора бытовых и медицинских отходов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6519" w:type="dxa"/>
          </w:tcPr>
          <w:p>
            <w:pPr>
              <w:pStyle w:val="0"/>
            </w:pPr>
            <w:r>
              <w:rPr>
                <w:sz w:val="24"/>
              </w:rPr>
              <w:t xml:space="preserve">Коврик (1 м x 1,5 м)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6519" w:type="dxa"/>
          </w:tcPr>
          <w:p>
            <w:pPr>
              <w:pStyle w:val="0"/>
            </w:pPr>
            <w:r>
              <w:rPr>
                <w:sz w:val="24"/>
              </w:rPr>
              <w:t xml:space="preserve">Комплект оборудования для наглядной пропаганды здорового образа жизни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14.04.2025 N 213н</w:t>
            <w:br/>
            <w:t>"Об утверждении порядка оказания несовершеннолетним медицинской помощи, в т...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23556&amp;date=09.06.2026&amp;dst=188&amp;field=134" TargetMode = "External"/><Relationship Id="rId9" Type="http://schemas.openxmlformats.org/officeDocument/2006/relationships/hyperlink" Target="https://login.consultant.ru/link/?req=doc&amp;base=LAW&amp;n=513229&amp;date=09.06.2026&amp;dst=100347&amp;field=134" TargetMode = "External"/><Relationship Id="rId10" Type="http://schemas.openxmlformats.org/officeDocument/2006/relationships/hyperlink" Target="https://login.consultant.ru/link/?req=doc&amp;base=LAW&amp;n=358686&amp;date=09.06.2026" TargetMode = "External"/><Relationship Id="rId11" Type="http://schemas.openxmlformats.org/officeDocument/2006/relationships/hyperlink" Target="https://login.consultant.ru/link/?req=doc&amp;base=LAW&amp;n=188253&amp;date=09.06.2026" TargetMode = "External"/><Relationship Id="rId12" Type="http://schemas.openxmlformats.org/officeDocument/2006/relationships/hyperlink" Target="https://login.consultant.ru/link/?req=doc&amp;base=LAW&amp;n=491243&amp;date=09.06.2026&amp;dst=101972&amp;field=134" TargetMode = "External"/><Relationship Id="rId13" Type="http://schemas.openxmlformats.org/officeDocument/2006/relationships/hyperlink" Target="https://login.consultant.ru/link/?req=doc&amp;base=LAW&amp;n=523556&amp;date=09.06.2026&amp;dst=188&amp;field=134" TargetMode = "External"/><Relationship Id="rId14" Type="http://schemas.openxmlformats.org/officeDocument/2006/relationships/hyperlink" Target="https://login.consultant.ru/link/?req=doc&amp;base=LAW&amp;n=523556&amp;date=09.06.2026" TargetMode = "External"/><Relationship Id="rId15" Type="http://schemas.openxmlformats.org/officeDocument/2006/relationships/hyperlink" Target="https://login.consultant.ru/link/?req=doc&amp;base=LAW&amp;n=532901&amp;date=09.06.2026&amp;dst=102&amp;field=134" TargetMode = "External"/><Relationship Id="rId16" Type="http://schemas.openxmlformats.org/officeDocument/2006/relationships/hyperlink" Target="https://login.consultant.ru/link/?req=doc&amp;base=LAW&amp;n=523556&amp;date=09.06.2026&amp;dst=426&amp;field=134" TargetMode = "External"/><Relationship Id="rId17" Type="http://schemas.openxmlformats.org/officeDocument/2006/relationships/hyperlink" Target="https://login.consultant.ru/link/?req=doc&amp;base=LAW&amp;n=532901&amp;date=09.06.2026&amp;dst=102&amp;field=134" TargetMode = "External"/><Relationship Id="rId18" Type="http://schemas.openxmlformats.org/officeDocument/2006/relationships/hyperlink" Target="https://login.consultant.ru/link/?req=doc&amp;base=LAW&amp;n=523556&amp;date=09.06.2026" TargetMode = "External"/><Relationship Id="rId19" Type="http://schemas.openxmlformats.org/officeDocument/2006/relationships/hyperlink" Target="https://login.consultant.ru/link/?req=doc&amp;base=LAW&amp;n=401289&amp;date=09.06.2026&amp;dst=100011&amp;field=134" TargetMode = "External"/><Relationship Id="rId20" Type="http://schemas.openxmlformats.org/officeDocument/2006/relationships/hyperlink" Target="https://login.consultant.ru/link/?req=doc&amp;base=LAW&amp;n=523556&amp;date=09.06.2026&amp;dst=100264&amp;field=134" TargetMode = "External"/><Relationship Id="rId21" Type="http://schemas.openxmlformats.org/officeDocument/2006/relationships/hyperlink" Target="https://login.consultant.ru/link/?req=doc&amp;base=LAW&amp;n=401289&amp;date=09.06.2026&amp;dst=100011&amp;field=134" TargetMode = "External"/><Relationship Id="rId22" Type="http://schemas.openxmlformats.org/officeDocument/2006/relationships/hyperlink" Target="https://login.consultant.ru/link/?req=doc&amp;base=LAW&amp;n=523556&amp;date=09.06.2026&amp;dst=426&amp;field=134" TargetMode = "External"/><Relationship Id="rId23" Type="http://schemas.openxmlformats.org/officeDocument/2006/relationships/hyperlink" Target="https://login.consultant.ru/link/?req=doc&amp;base=LAW&amp;n=513229&amp;date=09.06.2026&amp;dst=100020&amp;field=134" TargetMode = "External"/><Relationship Id="rId24" Type="http://schemas.openxmlformats.org/officeDocument/2006/relationships/hyperlink" Target="https://login.consultant.ru/link/?req=doc&amp;base=LAW&amp;n=513229&amp;date=09.06.2026&amp;dst=100020&amp;field=134" TargetMode = "External"/><Relationship Id="rId25" Type="http://schemas.openxmlformats.org/officeDocument/2006/relationships/hyperlink" Target="https://login.consultant.ru/link/?req=doc&amp;base=LAW&amp;n=361253&amp;date=09.06.2026&amp;dst=100009&amp;field=134" TargetMode = "External"/><Relationship Id="rId26" Type="http://schemas.openxmlformats.org/officeDocument/2006/relationships/hyperlink" Target="https://login.consultant.ru/link/?req=doc&amp;base=LAW&amp;n=361253&amp;date=09.06.2026" TargetMode = "External"/><Relationship Id="rId27" Type="http://schemas.openxmlformats.org/officeDocument/2006/relationships/hyperlink" Target="https://login.consultant.ru/link/?req=doc&amp;base=LAW&amp;n=513229&amp;date=09.06.2026&amp;dst=100020&amp;field=134" TargetMode = "External"/><Relationship Id="rId28" Type="http://schemas.openxmlformats.org/officeDocument/2006/relationships/hyperlink" Target="https://login.consultant.ru/link/?req=doc&amp;base=LAW&amp;n=523556&amp;date=09.06.2026&amp;dst=426&amp;field=134" TargetMode = "External"/><Relationship Id="rId29" Type="http://schemas.openxmlformats.org/officeDocument/2006/relationships/hyperlink" Target="https://login.consultant.ru/link/?req=doc&amp;base=LAW&amp;n=523556&amp;date=09.06.2026" TargetMode = "External"/><Relationship Id="rId30" Type="http://schemas.openxmlformats.org/officeDocument/2006/relationships/hyperlink" Target="https://login.consultant.ru/link/?req=doc&amp;base=LAW&amp;n=401289&amp;date=09.06.2026&amp;dst=100011&amp;field=134" TargetMode = "External"/><Relationship Id="rId31" Type="http://schemas.openxmlformats.org/officeDocument/2006/relationships/hyperlink" Target="https://login.consultant.ru/link/?req=doc&amp;base=LAW&amp;n=523556&amp;date=09.06.2026&amp;dst=783&amp;field=134" TargetMode = "External"/><Relationship Id="rId32" Type="http://schemas.openxmlformats.org/officeDocument/2006/relationships/hyperlink" Target="https://login.consultant.ru/link/?req=doc&amp;base=LAW&amp;n=523556&amp;date=09.06.2026&amp;dst=100415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14.04.2025 N 213н
"Об утверждении порядка оказания несовершеннолетним медицинской помощи, в том числе в период обучения и воспитания в образовательных организациях"
(Зарегистрировано в Минюсте России 26.05.2025 N 82322)</dc:title>
  <dcterms:created xsi:type="dcterms:W3CDTF">2026-06-09T02:40:02Z</dcterms:created>
</cp:coreProperties>
</file>