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570"/>
      </w:tblGrid>
      <w:tr w:rsidR="008F1425" w:rsidRPr="006552D4" w:rsidTr="00D444BB">
        <w:trPr>
          <w:trHeight w:val="953"/>
        </w:trPr>
        <w:tc>
          <w:tcPr>
            <w:tcW w:w="9570" w:type="dxa"/>
          </w:tcPr>
          <w:p w:rsidR="008F1425" w:rsidRPr="006552D4" w:rsidRDefault="008F1425" w:rsidP="00D444BB">
            <w:pPr>
              <w:jc w:val="right"/>
            </w:pPr>
          </w:p>
        </w:tc>
      </w:tr>
      <w:tr w:rsidR="008F1425" w:rsidRPr="006552D4" w:rsidTr="00D444BB">
        <w:trPr>
          <w:trHeight w:hRule="exact" w:val="1304"/>
        </w:trPr>
        <w:tc>
          <w:tcPr>
            <w:tcW w:w="9570" w:type="dxa"/>
          </w:tcPr>
          <w:p w:rsidR="008F1425" w:rsidRPr="006552D4" w:rsidRDefault="008F1425" w:rsidP="00D444BB">
            <w:pPr>
              <w:jc w:val="center"/>
              <w:rPr>
                <w:sz w:val="28"/>
                <w:szCs w:val="28"/>
              </w:rPr>
            </w:pPr>
            <w:r w:rsidRPr="006552D4">
              <w:rPr>
                <w:sz w:val="28"/>
                <w:szCs w:val="28"/>
              </w:rPr>
              <w:t xml:space="preserve">Забайкальский край </w:t>
            </w:r>
          </w:p>
          <w:p w:rsidR="008F1425" w:rsidRPr="006552D4" w:rsidRDefault="008F1425" w:rsidP="00D444BB">
            <w:pPr>
              <w:jc w:val="center"/>
              <w:rPr>
                <w:b/>
                <w:sz w:val="28"/>
                <w:szCs w:val="28"/>
              </w:rPr>
            </w:pPr>
            <w:r w:rsidRPr="006552D4">
              <w:rPr>
                <w:b/>
                <w:sz w:val="28"/>
                <w:szCs w:val="28"/>
              </w:rPr>
              <w:t>Администрация муниципального района «Могойтуйский район»</w:t>
            </w:r>
          </w:p>
          <w:p w:rsidR="008F1425" w:rsidRDefault="008F1425" w:rsidP="00D444BB">
            <w:pPr>
              <w:jc w:val="center"/>
              <w:rPr>
                <w:b/>
                <w:sz w:val="28"/>
                <w:szCs w:val="28"/>
              </w:rPr>
            </w:pPr>
            <w:r w:rsidRPr="006552D4">
              <w:rPr>
                <w:b/>
                <w:sz w:val="28"/>
                <w:szCs w:val="28"/>
              </w:rPr>
              <w:t>ПОСТАНОВЛЕНИЕ</w:t>
            </w:r>
          </w:p>
          <w:p w:rsidR="00DA362D" w:rsidRDefault="00DA362D" w:rsidP="00D444BB">
            <w:pPr>
              <w:jc w:val="center"/>
              <w:rPr>
                <w:b/>
                <w:sz w:val="28"/>
                <w:szCs w:val="28"/>
              </w:rPr>
            </w:pPr>
          </w:p>
          <w:p w:rsidR="00DA362D" w:rsidRDefault="00DA362D" w:rsidP="00D444BB">
            <w:pPr>
              <w:jc w:val="center"/>
              <w:rPr>
                <w:b/>
                <w:sz w:val="28"/>
                <w:szCs w:val="28"/>
              </w:rPr>
            </w:pPr>
          </w:p>
          <w:p w:rsidR="00DA362D" w:rsidRPr="006552D4" w:rsidRDefault="00DA362D" w:rsidP="00D444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1425" w:rsidRPr="006552D4" w:rsidTr="00D444BB">
        <w:trPr>
          <w:trHeight w:val="561"/>
        </w:trPr>
        <w:tc>
          <w:tcPr>
            <w:tcW w:w="9570" w:type="dxa"/>
          </w:tcPr>
          <w:p w:rsidR="00DA362D" w:rsidRDefault="00DA362D" w:rsidP="00C63602">
            <w:pPr>
              <w:rPr>
                <w:sz w:val="28"/>
                <w:szCs w:val="28"/>
              </w:rPr>
            </w:pPr>
          </w:p>
          <w:p w:rsidR="008F1425" w:rsidRPr="006552D4" w:rsidRDefault="001754BB" w:rsidP="00175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="00DA362D">
              <w:rPr>
                <w:sz w:val="28"/>
                <w:szCs w:val="28"/>
              </w:rPr>
              <w:t>07.2024</w:t>
            </w:r>
            <w:r w:rsidR="00DA362D" w:rsidRPr="002560C2">
              <w:rPr>
                <w:sz w:val="28"/>
                <w:szCs w:val="28"/>
              </w:rPr>
              <w:t xml:space="preserve">                                                                  </w:t>
            </w:r>
            <w:r w:rsidR="00DA362D">
              <w:rPr>
                <w:sz w:val="28"/>
                <w:szCs w:val="28"/>
              </w:rPr>
              <w:t xml:space="preserve">                                № </w:t>
            </w:r>
            <w:r>
              <w:rPr>
                <w:sz w:val="28"/>
                <w:szCs w:val="28"/>
              </w:rPr>
              <w:t>299</w:t>
            </w:r>
          </w:p>
        </w:tc>
      </w:tr>
      <w:tr w:rsidR="008F1425" w:rsidRPr="006552D4" w:rsidTr="00D444BB">
        <w:trPr>
          <w:trHeight w:val="550"/>
        </w:trPr>
        <w:tc>
          <w:tcPr>
            <w:tcW w:w="9570" w:type="dxa"/>
          </w:tcPr>
          <w:p w:rsidR="008F1425" w:rsidRPr="006552D4" w:rsidRDefault="008F1425" w:rsidP="00D444BB">
            <w:pPr>
              <w:jc w:val="center"/>
              <w:rPr>
                <w:sz w:val="28"/>
                <w:szCs w:val="28"/>
              </w:rPr>
            </w:pPr>
            <w:proofErr w:type="spellStart"/>
            <w:r w:rsidRPr="006552D4">
              <w:rPr>
                <w:sz w:val="28"/>
                <w:szCs w:val="28"/>
              </w:rPr>
              <w:t>пгт</w:t>
            </w:r>
            <w:proofErr w:type="spellEnd"/>
            <w:r w:rsidRPr="006552D4">
              <w:rPr>
                <w:sz w:val="28"/>
                <w:szCs w:val="28"/>
              </w:rPr>
              <w:t xml:space="preserve">. Могойтуй  </w:t>
            </w:r>
          </w:p>
        </w:tc>
      </w:tr>
    </w:tbl>
    <w:p w:rsidR="00351A2F" w:rsidRPr="006552D4" w:rsidRDefault="00351A2F" w:rsidP="004745F2">
      <w:pPr>
        <w:spacing w:line="240" w:lineRule="exact"/>
        <w:rPr>
          <w:sz w:val="28"/>
          <w:szCs w:val="28"/>
        </w:rPr>
      </w:pPr>
    </w:p>
    <w:p w:rsidR="008F1425" w:rsidRPr="006552D4" w:rsidRDefault="008F1425" w:rsidP="004745F2">
      <w:pPr>
        <w:spacing w:line="240" w:lineRule="exact"/>
        <w:rPr>
          <w:sz w:val="28"/>
          <w:szCs w:val="28"/>
        </w:rPr>
      </w:pPr>
    </w:p>
    <w:p w:rsidR="00D30D1C" w:rsidRPr="006552D4" w:rsidRDefault="00717125" w:rsidP="00D92671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</w:t>
      </w:r>
      <w:r w:rsidRPr="00717125">
        <w:rPr>
          <w:sz w:val="28"/>
          <w:szCs w:val="28"/>
        </w:rPr>
        <w:t xml:space="preserve">«Профилактика рисков причинения вреда (ущерба) охраняемым законом ценностям по муниципальному земельному контролю на территории муниципального </w:t>
      </w:r>
      <w:r>
        <w:rPr>
          <w:sz w:val="28"/>
          <w:szCs w:val="28"/>
        </w:rPr>
        <w:t>района «</w:t>
      </w:r>
      <w:proofErr w:type="spellStart"/>
      <w:r>
        <w:rPr>
          <w:sz w:val="28"/>
          <w:szCs w:val="28"/>
        </w:rPr>
        <w:t>Могойтуйский</w:t>
      </w:r>
      <w:proofErr w:type="spellEnd"/>
      <w:r>
        <w:rPr>
          <w:sz w:val="28"/>
          <w:szCs w:val="28"/>
        </w:rPr>
        <w:t xml:space="preserve"> район» на 202</w:t>
      </w:r>
      <w:r w:rsidR="001039EA">
        <w:rPr>
          <w:sz w:val="28"/>
          <w:szCs w:val="28"/>
        </w:rPr>
        <w:t>4</w:t>
      </w:r>
      <w:r w:rsidRPr="00717125">
        <w:rPr>
          <w:sz w:val="28"/>
          <w:szCs w:val="28"/>
        </w:rPr>
        <w:t xml:space="preserve"> год»</w:t>
      </w:r>
    </w:p>
    <w:p w:rsidR="00717125" w:rsidRPr="00717125" w:rsidRDefault="00717125" w:rsidP="001039EA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района «Могойтуйский район» 12 ноября 2021 года № 15-45 «Об утверждении Положения о муниципальном земельном контроле в границах муниципального района «Могойтуйский район», администрация муниципального </w:t>
      </w:r>
      <w:r>
        <w:rPr>
          <w:sz w:val="28"/>
          <w:szCs w:val="28"/>
        </w:rPr>
        <w:t>района «Могойтуйский район»</w:t>
      </w:r>
    </w:p>
    <w:p w:rsidR="00717125" w:rsidRPr="00717125" w:rsidRDefault="00717125" w:rsidP="001039EA">
      <w:pPr>
        <w:spacing w:line="360" w:lineRule="auto"/>
        <w:jc w:val="both"/>
        <w:rPr>
          <w:sz w:val="28"/>
          <w:szCs w:val="28"/>
        </w:rPr>
      </w:pPr>
      <w:r w:rsidRPr="00717125">
        <w:rPr>
          <w:sz w:val="28"/>
          <w:szCs w:val="28"/>
        </w:rPr>
        <w:t>ПОСТАНОВЛЯЕТ:</w:t>
      </w:r>
    </w:p>
    <w:p w:rsidR="00717125" w:rsidRPr="00717125" w:rsidRDefault="00717125" w:rsidP="001039EA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1. Утвердить программу «Профилактика рисков причинения вреда (ущерба) охраняемым законом ценностям по муниципальному земельному контролю на территории муниципального </w:t>
      </w:r>
      <w:r>
        <w:rPr>
          <w:sz w:val="28"/>
          <w:szCs w:val="28"/>
        </w:rPr>
        <w:t>района «</w:t>
      </w:r>
      <w:proofErr w:type="spellStart"/>
      <w:r>
        <w:rPr>
          <w:sz w:val="28"/>
          <w:szCs w:val="28"/>
        </w:rPr>
        <w:t>Могойтуйский</w:t>
      </w:r>
      <w:proofErr w:type="spellEnd"/>
      <w:r>
        <w:rPr>
          <w:sz w:val="28"/>
          <w:szCs w:val="28"/>
        </w:rPr>
        <w:t xml:space="preserve"> район» на 202</w:t>
      </w:r>
      <w:r w:rsidR="001039EA">
        <w:rPr>
          <w:sz w:val="28"/>
          <w:szCs w:val="28"/>
        </w:rPr>
        <w:t>4</w:t>
      </w:r>
      <w:r w:rsidRPr="00717125">
        <w:rPr>
          <w:sz w:val="28"/>
          <w:szCs w:val="28"/>
        </w:rPr>
        <w:t xml:space="preserve"> год» согласно приложению.</w:t>
      </w:r>
    </w:p>
    <w:p w:rsidR="00717125" w:rsidRPr="00717125" w:rsidRDefault="00717125" w:rsidP="001039EA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2. Управлению </w:t>
      </w:r>
      <w:r>
        <w:rPr>
          <w:sz w:val="28"/>
          <w:szCs w:val="28"/>
        </w:rPr>
        <w:t xml:space="preserve">экономического развития, прогнозирования и имущества администрации муниципального района «Могойтуйский район» </w:t>
      </w:r>
      <w:r w:rsidRPr="00717125">
        <w:rPr>
          <w:sz w:val="28"/>
          <w:szCs w:val="28"/>
        </w:rPr>
        <w:lastRenderedPageBreak/>
        <w:t xml:space="preserve">обеспечить размещение настоящего постановления на официальном сайте </w:t>
      </w:r>
      <w:r>
        <w:rPr>
          <w:sz w:val="28"/>
          <w:szCs w:val="28"/>
        </w:rPr>
        <w:t>муниципального района «Могойтуйский район»</w:t>
      </w:r>
    </w:p>
    <w:p w:rsidR="00554A12" w:rsidRDefault="00717125" w:rsidP="001039EA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3. </w:t>
      </w:r>
      <w:proofErr w:type="gramStart"/>
      <w:r w:rsidRPr="00717125">
        <w:rPr>
          <w:sz w:val="28"/>
          <w:szCs w:val="28"/>
        </w:rPr>
        <w:t>Контроль за</w:t>
      </w:r>
      <w:proofErr w:type="gramEnd"/>
      <w:r w:rsidRPr="0071712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управление экономического развития, прогнозирования и имущества администрации муниципального района «</w:t>
      </w:r>
      <w:proofErr w:type="spellStart"/>
      <w:r>
        <w:rPr>
          <w:sz w:val="28"/>
          <w:szCs w:val="28"/>
        </w:rPr>
        <w:t>Могойтуйский</w:t>
      </w:r>
      <w:proofErr w:type="spellEnd"/>
      <w:r>
        <w:rPr>
          <w:sz w:val="28"/>
          <w:szCs w:val="28"/>
        </w:rPr>
        <w:t xml:space="preserve"> район» (</w:t>
      </w:r>
      <w:proofErr w:type="spellStart"/>
      <w:r w:rsidR="001039EA">
        <w:rPr>
          <w:sz w:val="28"/>
          <w:szCs w:val="28"/>
        </w:rPr>
        <w:t>Жаргалов</w:t>
      </w:r>
      <w:proofErr w:type="spellEnd"/>
      <w:r w:rsidR="001039EA">
        <w:rPr>
          <w:sz w:val="28"/>
          <w:szCs w:val="28"/>
        </w:rPr>
        <w:t xml:space="preserve"> Б.Ц.</w:t>
      </w:r>
      <w:r>
        <w:rPr>
          <w:sz w:val="28"/>
          <w:szCs w:val="28"/>
        </w:rPr>
        <w:t>)</w:t>
      </w:r>
      <w:r w:rsidRPr="00717125">
        <w:rPr>
          <w:sz w:val="28"/>
          <w:szCs w:val="28"/>
        </w:rPr>
        <w:t>.</w:t>
      </w:r>
    </w:p>
    <w:p w:rsidR="00717125" w:rsidRPr="00717125" w:rsidRDefault="00717125" w:rsidP="001039EA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4. Настоящее постановление вступает в силу </w:t>
      </w:r>
      <w:r w:rsidR="003B1730">
        <w:rPr>
          <w:sz w:val="28"/>
          <w:szCs w:val="28"/>
        </w:rPr>
        <w:t>после официального опубликования (обнародования)</w:t>
      </w:r>
      <w:r w:rsidRPr="00717125">
        <w:rPr>
          <w:sz w:val="28"/>
          <w:szCs w:val="28"/>
        </w:rPr>
        <w:t>.</w:t>
      </w:r>
    </w:p>
    <w:p w:rsidR="00717125" w:rsidRDefault="00717125" w:rsidP="00717125">
      <w:pPr>
        <w:ind w:firstLine="709"/>
        <w:jc w:val="both"/>
        <w:rPr>
          <w:sz w:val="28"/>
          <w:szCs w:val="28"/>
        </w:rPr>
      </w:pPr>
    </w:p>
    <w:p w:rsidR="001039EA" w:rsidRPr="006552D4" w:rsidRDefault="001039EA" w:rsidP="00717125">
      <w:pPr>
        <w:ind w:firstLine="709"/>
        <w:jc w:val="both"/>
        <w:rPr>
          <w:sz w:val="28"/>
          <w:szCs w:val="28"/>
        </w:rPr>
      </w:pPr>
    </w:p>
    <w:p w:rsidR="00554A12" w:rsidRPr="006552D4" w:rsidRDefault="00554A12" w:rsidP="00717125">
      <w:pPr>
        <w:ind w:firstLine="709"/>
        <w:jc w:val="both"/>
        <w:rPr>
          <w:sz w:val="28"/>
          <w:szCs w:val="28"/>
        </w:rPr>
      </w:pPr>
    </w:p>
    <w:p w:rsidR="00875B8C" w:rsidRPr="006552D4" w:rsidRDefault="00DA362D" w:rsidP="00AC170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FF2BDA" w:rsidRPr="006552D4">
        <w:rPr>
          <w:sz w:val="28"/>
          <w:szCs w:val="28"/>
        </w:rPr>
        <w:t>Г</w:t>
      </w:r>
      <w:proofErr w:type="gramEnd"/>
      <w:r w:rsidR="00875B8C" w:rsidRPr="006552D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875B8C" w:rsidRPr="006552D4">
        <w:rPr>
          <w:sz w:val="28"/>
          <w:szCs w:val="28"/>
        </w:rPr>
        <w:t xml:space="preserve"> муниципального района                 </w:t>
      </w:r>
      <w:r w:rsidR="00875B8C" w:rsidRPr="006552D4">
        <w:rPr>
          <w:sz w:val="28"/>
          <w:szCs w:val="28"/>
        </w:rPr>
        <w:tab/>
      </w:r>
      <w:r w:rsidR="00875B8C" w:rsidRPr="006552D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Б.Д.Намжилов</w:t>
      </w:r>
      <w:proofErr w:type="spellEnd"/>
    </w:p>
    <w:p w:rsidR="00AC43D9" w:rsidRPr="006552D4" w:rsidRDefault="00AC43D9" w:rsidP="00AC1709">
      <w:pPr>
        <w:jc w:val="both"/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B81F29" w:rsidRDefault="00B81F29" w:rsidP="00CF3402">
      <w:pPr>
        <w:rPr>
          <w:szCs w:val="20"/>
        </w:rPr>
      </w:pPr>
      <w:bookmarkStart w:id="0" w:name="_GoBack"/>
      <w:bookmarkEnd w:id="0"/>
    </w:p>
    <w:p w:rsidR="001054F0" w:rsidRDefault="001054F0" w:rsidP="00CF3402">
      <w:pPr>
        <w:rPr>
          <w:szCs w:val="20"/>
        </w:rPr>
      </w:pPr>
    </w:p>
    <w:p w:rsidR="00D92671" w:rsidRDefault="00D92671" w:rsidP="00CF3402">
      <w:pPr>
        <w:rPr>
          <w:szCs w:val="20"/>
        </w:rPr>
      </w:pPr>
    </w:p>
    <w:p w:rsidR="00D92671" w:rsidRDefault="00D92671" w:rsidP="00CF3402">
      <w:pPr>
        <w:rPr>
          <w:szCs w:val="20"/>
        </w:rPr>
      </w:pPr>
    </w:p>
    <w:p w:rsidR="00D92671" w:rsidRDefault="00D92671" w:rsidP="00CF3402">
      <w:pPr>
        <w:rPr>
          <w:szCs w:val="20"/>
        </w:rPr>
      </w:pPr>
    </w:p>
    <w:p w:rsidR="001039EA" w:rsidRDefault="001039EA" w:rsidP="00CF3402">
      <w:pPr>
        <w:rPr>
          <w:szCs w:val="20"/>
        </w:rPr>
      </w:pPr>
    </w:p>
    <w:p w:rsidR="00CF3402" w:rsidRDefault="001039EA" w:rsidP="00CF3402">
      <w:pPr>
        <w:rPr>
          <w:szCs w:val="20"/>
        </w:rPr>
      </w:pPr>
      <w:proofErr w:type="spellStart"/>
      <w:r>
        <w:rPr>
          <w:szCs w:val="20"/>
        </w:rPr>
        <w:t>Жаргалов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Баир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Цыденжапович</w:t>
      </w:r>
      <w:proofErr w:type="spellEnd"/>
    </w:p>
    <w:p w:rsidR="00A515D0" w:rsidRDefault="00CF3402">
      <w:pPr>
        <w:rPr>
          <w:szCs w:val="20"/>
        </w:rPr>
      </w:pPr>
      <w:r w:rsidRPr="006552D4">
        <w:rPr>
          <w:szCs w:val="20"/>
        </w:rPr>
        <w:t>2-20-77</w:t>
      </w:r>
    </w:p>
    <w:p w:rsid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lastRenderedPageBreak/>
        <w:t xml:space="preserve">ПРОГРАММА </w:t>
      </w:r>
    </w:p>
    <w:p w:rsidR="006552D4" w:rsidRP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6552D4" w:rsidRP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на территории</w:t>
      </w:r>
      <w:r w:rsidR="00CC579D">
        <w:rPr>
          <w:b/>
          <w:sz w:val="26"/>
          <w:szCs w:val="26"/>
        </w:rPr>
        <w:t xml:space="preserve"> </w:t>
      </w:r>
      <w:r w:rsidRPr="006552D4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>района «</w:t>
      </w:r>
      <w:proofErr w:type="spellStart"/>
      <w:r>
        <w:rPr>
          <w:b/>
          <w:sz w:val="26"/>
          <w:szCs w:val="26"/>
        </w:rPr>
        <w:t>Могойтуйский</w:t>
      </w:r>
      <w:proofErr w:type="spellEnd"/>
      <w:r>
        <w:rPr>
          <w:b/>
          <w:sz w:val="26"/>
          <w:szCs w:val="26"/>
        </w:rPr>
        <w:t xml:space="preserve"> район» </w:t>
      </w:r>
      <w:r w:rsidRPr="006552D4">
        <w:rPr>
          <w:b/>
          <w:sz w:val="26"/>
          <w:szCs w:val="26"/>
        </w:rPr>
        <w:t>на 202</w:t>
      </w:r>
      <w:r w:rsidR="001039EA">
        <w:rPr>
          <w:b/>
          <w:sz w:val="26"/>
          <w:szCs w:val="26"/>
        </w:rPr>
        <w:t>4</w:t>
      </w:r>
      <w:r w:rsidRPr="006552D4">
        <w:rPr>
          <w:b/>
          <w:sz w:val="26"/>
          <w:szCs w:val="26"/>
        </w:rPr>
        <w:t xml:space="preserve"> год</w:t>
      </w:r>
    </w:p>
    <w:p w:rsidR="006552D4" w:rsidRPr="006552D4" w:rsidRDefault="006552D4" w:rsidP="006552D4">
      <w:pPr>
        <w:autoSpaceDN w:val="0"/>
        <w:jc w:val="center"/>
        <w:textAlignment w:val="baseline"/>
        <w:rPr>
          <w:b/>
          <w:sz w:val="26"/>
          <w:szCs w:val="26"/>
        </w:rPr>
      </w:pPr>
    </w:p>
    <w:p w:rsidR="006552D4" w:rsidRPr="006552D4" w:rsidRDefault="006552D4" w:rsidP="006552D4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6552D4" w:rsidRPr="006552D4" w:rsidRDefault="006552D4" w:rsidP="006552D4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Администрация муниципального </w:t>
      </w:r>
      <w:r>
        <w:rPr>
          <w:sz w:val="26"/>
          <w:szCs w:val="26"/>
        </w:rPr>
        <w:t>района «Могойтуйский район»</w:t>
      </w:r>
      <w:r w:rsidRPr="006552D4">
        <w:rPr>
          <w:sz w:val="26"/>
          <w:szCs w:val="26"/>
        </w:rPr>
        <w:t xml:space="preserve"> (далее – контрольный (надзорный) орган) в соответствии с Положением о муниципальном земельном контроле в границах муниципального района «Могойтуйский район» (далее – Положение), утвержденным решением Совета </w:t>
      </w:r>
      <w:r>
        <w:rPr>
          <w:sz w:val="26"/>
          <w:szCs w:val="26"/>
        </w:rPr>
        <w:t>муниципального района «Могойтуйский район» 12 ноября 2021 года № 15-45</w:t>
      </w:r>
      <w:r w:rsidRPr="006552D4">
        <w:rPr>
          <w:sz w:val="26"/>
          <w:szCs w:val="26"/>
        </w:rPr>
        <w:t xml:space="preserve">, осуществляет </w:t>
      </w:r>
      <w:r>
        <w:rPr>
          <w:sz w:val="26"/>
          <w:szCs w:val="26"/>
        </w:rPr>
        <w:t>м</w:t>
      </w:r>
      <w:r w:rsidRPr="006552D4">
        <w:rPr>
          <w:sz w:val="26"/>
          <w:szCs w:val="26"/>
        </w:rPr>
        <w:t>униципальный земельный контроль за</w:t>
      </w:r>
      <w:r w:rsidR="00F27262">
        <w:rPr>
          <w:sz w:val="26"/>
          <w:szCs w:val="26"/>
        </w:rPr>
        <w:t xml:space="preserve"> исполнением</w:t>
      </w:r>
      <w:r w:rsidRPr="006552D4">
        <w:rPr>
          <w:sz w:val="26"/>
          <w:szCs w:val="26"/>
        </w:rPr>
        <w:t>:</w:t>
      </w:r>
    </w:p>
    <w:p w:rsidR="006552D4" w:rsidRPr="006552D4" w:rsidRDefault="00F27262" w:rsidP="007171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6552D4" w:rsidRPr="006552D4">
        <w:rPr>
          <w:sz w:val="26"/>
          <w:szCs w:val="26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5)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Объектами муниципального земельного контроля являются территории земель, расположенные в границах муниципального </w:t>
      </w:r>
      <w:r>
        <w:rPr>
          <w:sz w:val="26"/>
          <w:szCs w:val="26"/>
        </w:rPr>
        <w:t>района «Могойтуйский район»</w:t>
      </w:r>
      <w:r w:rsidRPr="006552D4">
        <w:rPr>
          <w:sz w:val="26"/>
          <w:szCs w:val="26"/>
        </w:rPr>
        <w:t>, земельные участки и их части независимо от прав на них (далее – объекты контроля).</w:t>
      </w:r>
    </w:p>
    <w:p w:rsidR="006552D4" w:rsidRPr="006552D4" w:rsidRDefault="006552D4" w:rsidP="00717125">
      <w:pPr>
        <w:ind w:firstLine="708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</w:t>
      </w:r>
      <w:r>
        <w:rPr>
          <w:sz w:val="26"/>
          <w:szCs w:val="26"/>
        </w:rPr>
        <w:t>района «Могойтуйский район»</w:t>
      </w:r>
      <w:r w:rsidRPr="006552D4">
        <w:rPr>
          <w:sz w:val="26"/>
          <w:szCs w:val="26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1039EA">
        <w:rPr>
          <w:sz w:val="26"/>
          <w:szCs w:val="26"/>
        </w:rPr>
        <w:t>3</w:t>
      </w:r>
      <w:r w:rsidRPr="006552D4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6552D4">
        <w:rPr>
          <w:sz w:val="26"/>
          <w:szCs w:val="26"/>
        </w:rPr>
        <w:t xml:space="preserve"> </w:t>
      </w:r>
      <w:r w:rsidR="001039EA">
        <w:rPr>
          <w:sz w:val="26"/>
          <w:szCs w:val="26"/>
        </w:rPr>
        <w:t>уполномоченным лицом администрации муниципального района «</w:t>
      </w:r>
      <w:proofErr w:type="spellStart"/>
      <w:r w:rsidR="001039EA">
        <w:rPr>
          <w:sz w:val="26"/>
          <w:szCs w:val="26"/>
        </w:rPr>
        <w:t>Могойтуйский</w:t>
      </w:r>
      <w:proofErr w:type="spellEnd"/>
      <w:r w:rsidR="001039EA">
        <w:rPr>
          <w:sz w:val="26"/>
          <w:szCs w:val="26"/>
        </w:rPr>
        <w:t xml:space="preserve"> район» осуществлено 22 мероприятия по контролю без взаимодействия с контролируемым лицом. В ходе </w:t>
      </w:r>
      <w:proofErr w:type="gramStart"/>
      <w:r w:rsidR="00056AB2">
        <w:rPr>
          <w:sz w:val="26"/>
          <w:szCs w:val="26"/>
        </w:rPr>
        <w:t xml:space="preserve">проведения надзорных мероприятий </w:t>
      </w:r>
      <w:r w:rsidR="00136DA2">
        <w:rPr>
          <w:sz w:val="26"/>
          <w:szCs w:val="26"/>
        </w:rPr>
        <w:t>фактов нарушения</w:t>
      </w:r>
      <w:r w:rsidR="00CC579D">
        <w:rPr>
          <w:sz w:val="26"/>
          <w:szCs w:val="26"/>
        </w:rPr>
        <w:t xml:space="preserve"> требований земельного законодательства</w:t>
      </w:r>
      <w:proofErr w:type="gramEnd"/>
      <w:r w:rsidR="00CC579D">
        <w:rPr>
          <w:sz w:val="26"/>
          <w:szCs w:val="26"/>
        </w:rPr>
        <w:t xml:space="preserve"> зафиксировано не было.</w:t>
      </w:r>
    </w:p>
    <w:p w:rsidR="006552D4" w:rsidRPr="006552D4" w:rsidRDefault="006552D4" w:rsidP="00717125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Раздел II. Цели и задачи реализации программы профилактики рисков причинения вреда</w:t>
      </w:r>
    </w:p>
    <w:p w:rsidR="006552D4" w:rsidRPr="006552D4" w:rsidRDefault="006552D4" w:rsidP="00717125">
      <w:pPr>
        <w:autoSpaceDE w:val="0"/>
        <w:autoSpaceDN w:val="0"/>
        <w:jc w:val="both"/>
        <w:rPr>
          <w:b/>
          <w:sz w:val="26"/>
          <w:szCs w:val="26"/>
        </w:rPr>
      </w:pP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Цели разработки Программы и проведение профилактической работы: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bCs/>
          <w:kern w:val="24"/>
          <w:sz w:val="26"/>
          <w:szCs w:val="26"/>
        </w:rPr>
        <w:tab/>
        <w:t xml:space="preserve">- </w:t>
      </w:r>
      <w:r w:rsidRPr="006552D4">
        <w:rPr>
          <w:sz w:val="26"/>
          <w:szCs w:val="26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повышение прозрачности системы муниципального контроля;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мотивация подконтрольных субъектов к добросовестному поведению.</w:t>
      </w: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Проведение профилактических мероприятий Программы позволяет решить следующие задачи: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повышение квалификации кадрового состава контрольно-надзорного органа;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6552D4" w:rsidRPr="006552D4" w:rsidRDefault="006552D4" w:rsidP="00717125">
      <w:pPr>
        <w:ind w:left="5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Сроки реализации Программы приведены в перечне основных профилактических мероприятий на 202</w:t>
      </w:r>
      <w:r w:rsidR="00CC579D">
        <w:rPr>
          <w:sz w:val="26"/>
          <w:szCs w:val="26"/>
        </w:rPr>
        <w:t>4</w:t>
      </w:r>
      <w:r w:rsidRPr="006552D4">
        <w:rPr>
          <w:sz w:val="26"/>
          <w:szCs w:val="26"/>
        </w:rPr>
        <w:t xml:space="preserve"> год.</w:t>
      </w:r>
    </w:p>
    <w:p w:rsidR="006552D4" w:rsidRPr="006552D4" w:rsidRDefault="006552D4" w:rsidP="00717125">
      <w:pPr>
        <w:autoSpaceDE w:val="0"/>
        <w:autoSpaceDN w:val="0"/>
        <w:jc w:val="both"/>
        <w:rPr>
          <w:sz w:val="26"/>
          <w:szCs w:val="26"/>
        </w:rPr>
      </w:pPr>
      <w:r w:rsidRPr="006552D4">
        <w:rPr>
          <w:sz w:val="26"/>
          <w:szCs w:val="26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6552D4" w:rsidRPr="006552D4" w:rsidRDefault="006552D4" w:rsidP="006552D4">
      <w:pPr>
        <w:jc w:val="center"/>
        <w:rPr>
          <w:b/>
          <w:bCs/>
          <w:kern w:val="24"/>
          <w:sz w:val="26"/>
          <w:szCs w:val="26"/>
        </w:rPr>
      </w:pPr>
    </w:p>
    <w:p w:rsidR="006552D4" w:rsidRPr="006552D4" w:rsidRDefault="006552D4" w:rsidP="006552D4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Раздел III. Перечень профилактических мероприятий, сроки (периодичность) их проведения</w:t>
      </w:r>
    </w:p>
    <w:p w:rsidR="006552D4" w:rsidRPr="006552D4" w:rsidRDefault="006552D4" w:rsidP="006552D4">
      <w:pPr>
        <w:autoSpaceDN w:val="0"/>
        <w:contextualSpacing/>
        <w:textAlignment w:val="baseline"/>
        <w:rPr>
          <w:b/>
          <w:sz w:val="26"/>
          <w:szCs w:val="26"/>
          <w:lang w:eastAsia="ar-SA"/>
        </w:rPr>
      </w:pP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Перечень основных профилактических мероприятий Программы на 202</w:t>
      </w:r>
      <w:r w:rsidR="00CC579D">
        <w:rPr>
          <w:sz w:val="26"/>
          <w:szCs w:val="26"/>
        </w:rPr>
        <w:t>4</w:t>
      </w:r>
      <w:r w:rsidRPr="006552D4">
        <w:rPr>
          <w:sz w:val="26"/>
          <w:szCs w:val="26"/>
        </w:rPr>
        <w:t xml:space="preserve"> год приведен в таблице №1. </w:t>
      </w:r>
    </w:p>
    <w:p w:rsidR="006552D4" w:rsidRPr="006552D4" w:rsidRDefault="006552D4" w:rsidP="006552D4">
      <w:pPr>
        <w:jc w:val="center"/>
        <w:rPr>
          <w:sz w:val="26"/>
          <w:szCs w:val="26"/>
          <w:lang w:eastAsia="ar-SA"/>
        </w:rPr>
      </w:pPr>
    </w:p>
    <w:p w:rsidR="006552D4" w:rsidRPr="006552D4" w:rsidRDefault="006552D4" w:rsidP="006552D4">
      <w:pPr>
        <w:autoSpaceDE w:val="0"/>
        <w:autoSpaceDN w:val="0"/>
        <w:jc w:val="right"/>
        <w:rPr>
          <w:sz w:val="20"/>
          <w:szCs w:val="20"/>
        </w:rPr>
      </w:pPr>
      <w:r w:rsidRPr="006552D4">
        <w:rPr>
          <w:sz w:val="20"/>
          <w:szCs w:val="20"/>
        </w:rPr>
        <w:t>Таблица № 1</w:t>
      </w:r>
    </w:p>
    <w:p w:rsidR="006552D4" w:rsidRPr="006552D4" w:rsidRDefault="006552D4" w:rsidP="006552D4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6552D4" w:rsidRPr="006552D4" w:rsidTr="00382D4E"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№ п/п</w:t>
            </w:r>
          </w:p>
        </w:tc>
        <w:tc>
          <w:tcPr>
            <w:tcW w:w="43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Профилактические мероприятия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19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Адресат мероприятия</w:t>
            </w:r>
          </w:p>
        </w:tc>
      </w:tr>
    </w:tbl>
    <w:p w:rsidR="006552D4" w:rsidRPr="006552D4" w:rsidRDefault="006552D4" w:rsidP="006552D4">
      <w:pPr>
        <w:rPr>
          <w:sz w:val="2"/>
          <w:szCs w:val="2"/>
          <w:lang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6552D4" w:rsidRPr="006552D4" w:rsidTr="00382D4E">
        <w:trPr>
          <w:trHeight w:val="28"/>
          <w:tblHeader/>
        </w:trPr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</w:t>
            </w:r>
          </w:p>
        </w:tc>
        <w:tc>
          <w:tcPr>
            <w:tcW w:w="43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2</w:t>
            </w:r>
          </w:p>
        </w:tc>
        <w:tc>
          <w:tcPr>
            <w:tcW w:w="219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3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4</w:t>
            </w:r>
          </w:p>
        </w:tc>
      </w:tr>
      <w:tr w:rsidR="006552D4" w:rsidRPr="006552D4" w:rsidTr="00382D4E">
        <w:tc>
          <w:tcPr>
            <w:tcW w:w="720" w:type="dxa"/>
            <w:vMerge w:val="restart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1.</w:t>
            </w:r>
          </w:p>
        </w:tc>
        <w:tc>
          <w:tcPr>
            <w:tcW w:w="4320" w:type="dxa"/>
          </w:tcPr>
          <w:p w:rsidR="006552D4" w:rsidRPr="006552D4" w:rsidRDefault="006552D4" w:rsidP="006552D4">
            <w:pPr>
              <w:autoSpaceDE w:val="0"/>
              <w:autoSpaceDN w:val="0"/>
            </w:pPr>
            <w:r w:rsidRPr="006552D4">
              <w:t xml:space="preserve">Размещение на официальном сайте муниципального </w:t>
            </w:r>
            <w:r>
              <w:t>района «Могойтуйский район»</w:t>
            </w:r>
            <w:r w:rsidRPr="006552D4">
              <w:t xml:space="preserve"> актуальной информации: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409" w:type="dxa"/>
            <w:vMerge w:val="restart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c>
          <w:tcPr>
            <w:tcW w:w="720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  <w:rPr>
                <w:color w:val="FF6600"/>
              </w:rPr>
            </w:pPr>
          </w:p>
        </w:tc>
      </w:tr>
      <w:tr w:rsidR="006552D4" w:rsidRPr="006552D4" w:rsidTr="00382D4E"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по мере необходимости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B81F29" w:rsidP="00382D4E">
            <w:pPr>
              <w:autoSpaceDE w:val="0"/>
              <w:autoSpaceDN w:val="0"/>
            </w:pPr>
            <w:hyperlink r:id="rId6" w:history="1">
              <w:r w:rsidR="006552D4" w:rsidRPr="006552D4">
                <w:t>перечень</w:t>
              </w:r>
            </w:hyperlink>
            <w:r w:rsidR="006552D4" w:rsidRPr="006552D4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327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6552D4" w:rsidRPr="006552D4" w:rsidRDefault="006552D4" w:rsidP="00382D4E">
            <w:pPr>
              <w:autoSpaceDE w:val="0"/>
              <w:autoSpaceDN w:val="0"/>
            </w:pP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  <w:rPr>
                <w:color w:val="FF6600"/>
              </w:rPr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116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  <w:rPr>
                <w:color w:val="FF6600"/>
              </w:rPr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16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6552D4" w:rsidRPr="006552D4" w:rsidRDefault="006552D4" w:rsidP="00CC579D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 w:rsidR="00CC579D">
              <w:t>4</w:t>
            </w:r>
            <w:r>
              <w:t xml:space="preserve"> </w:t>
            </w:r>
            <w:r w:rsidRPr="006552D4">
              <w:t>г, 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389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сведения о способах получения консультаций по вопросам соблюдения обязательных требований;</w:t>
            </w:r>
          </w:p>
          <w:p w:rsidR="006552D4" w:rsidRPr="006552D4" w:rsidRDefault="006552D4" w:rsidP="00382D4E">
            <w:pPr>
              <w:autoSpaceDE w:val="0"/>
              <w:autoSpaceDN w:val="0"/>
            </w:pPr>
          </w:p>
        </w:tc>
        <w:tc>
          <w:tcPr>
            <w:tcW w:w="2190" w:type="dxa"/>
          </w:tcPr>
          <w:p w:rsidR="006552D4" w:rsidRPr="006552D4" w:rsidRDefault="006552D4" w:rsidP="00CC579D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 w:rsidR="00CC579D">
              <w:t>4</w:t>
            </w:r>
            <w:r>
              <w:t xml:space="preserve"> </w:t>
            </w:r>
            <w:r w:rsidRPr="006552D4">
              <w:t>г, 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16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6552D4" w:rsidRPr="006552D4" w:rsidRDefault="006552D4" w:rsidP="00CC579D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 w:rsidR="00CC579D">
              <w:t>4</w:t>
            </w:r>
            <w:r w:rsidRPr="006552D4"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128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в срок до 3 дней со дня утверждения доклада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114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6552D4" w:rsidRPr="006552D4" w:rsidRDefault="006552D4" w:rsidP="00136DA2">
            <w:pPr>
              <w:autoSpaceDE w:val="0"/>
              <w:autoSpaceDN w:val="0"/>
              <w:jc w:val="center"/>
            </w:pPr>
            <w:r w:rsidRPr="006552D4">
              <w:t>в срок до 3 дней со дня утверждения д</w:t>
            </w:r>
            <w:r>
              <w:t xml:space="preserve">оклада 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Юридические лица, индивидуальные предприниматели, граждане, органы государственной власти, органы местного </w:t>
            </w:r>
            <w:r w:rsidRPr="006552D4">
              <w:lastRenderedPageBreak/>
              <w:t>самоуправления</w:t>
            </w:r>
          </w:p>
        </w:tc>
      </w:tr>
      <w:tr w:rsidR="006552D4" w:rsidRPr="006552D4" w:rsidTr="00382D4E">
        <w:trPr>
          <w:trHeight w:val="1880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440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CC579D">
            <w:pPr>
              <w:autoSpaceDE w:val="0"/>
              <w:autoSpaceDN w:val="0"/>
            </w:pPr>
            <w:r w:rsidRPr="006552D4">
              <w:t>Программы профилактики на 202</w:t>
            </w:r>
            <w:r w:rsidR="00CC579D">
              <w:t>5</w:t>
            </w:r>
            <w:r w:rsidRPr="006552D4">
              <w:t xml:space="preserve"> г. 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не позднее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 октября 202</w:t>
            </w:r>
            <w:r w:rsidR="0080328D">
              <w:t>4</w:t>
            </w:r>
            <w:r w:rsidRPr="006552D4">
              <w:t xml:space="preserve"> г.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(проект Программы для общественного обсуждения);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40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rPr>
                <w:lang w:eastAsia="ar-SA"/>
              </w:rPr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6552D4" w:rsidRPr="006552D4" w:rsidRDefault="006552D4" w:rsidP="00382D4E">
            <w:pPr>
              <w:autoSpaceDE w:val="0"/>
              <w:autoSpaceDN w:val="0"/>
            </w:pPr>
          </w:p>
          <w:p w:rsidR="006552D4" w:rsidRPr="006552D4" w:rsidRDefault="006552D4" w:rsidP="00382D4E">
            <w:pPr>
              <w:autoSpaceDE w:val="0"/>
              <w:autoSpaceDN w:val="0"/>
            </w:pP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в течение 5 рабочих дней со дня их утверждения </w:t>
            </w:r>
          </w:p>
          <w:p w:rsidR="006552D4" w:rsidRPr="006552D4" w:rsidRDefault="006552D4" w:rsidP="0080328D">
            <w:pPr>
              <w:autoSpaceDE w:val="0"/>
              <w:autoSpaceDN w:val="0"/>
              <w:jc w:val="center"/>
            </w:pPr>
            <w:r w:rsidRPr="006552D4">
              <w:t xml:space="preserve">(до </w:t>
            </w:r>
            <w:r w:rsidR="0080328D">
              <w:t>15</w:t>
            </w:r>
            <w:r w:rsidRPr="006552D4">
              <w:t xml:space="preserve">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04"/>
        </w:trPr>
        <w:tc>
          <w:tcPr>
            <w:tcW w:w="720" w:type="dxa"/>
            <w:vMerge w:val="restart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2.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153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6552D4" w:rsidRPr="006552D4" w:rsidRDefault="006552D4" w:rsidP="00CC579D">
            <w:pPr>
              <w:autoSpaceDE w:val="0"/>
              <w:autoSpaceDN w:val="0"/>
              <w:jc w:val="center"/>
            </w:pPr>
            <w:r w:rsidRPr="006552D4">
              <w:t>в течение 202</w:t>
            </w:r>
            <w:r w:rsidR="00CC579D">
              <w:t>4</w:t>
            </w:r>
            <w:r w:rsidRPr="006552D4">
              <w:t xml:space="preserve"> года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63"/>
        </w:trPr>
        <w:tc>
          <w:tcPr>
            <w:tcW w:w="720" w:type="dxa"/>
            <w:vMerge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4320" w:type="dxa"/>
          </w:tcPr>
          <w:p w:rsidR="006552D4" w:rsidRPr="006552D4" w:rsidRDefault="006552D4" w:rsidP="006552D4">
            <w:pPr>
              <w:autoSpaceDE w:val="0"/>
              <w:autoSpaceDN w:val="0"/>
            </w:pPr>
            <w:r w:rsidRPr="006552D4">
              <w:t xml:space="preserve">публикаций на официальном сайте </w:t>
            </w:r>
            <w:r w:rsidRPr="006552D4">
              <w:lastRenderedPageBreak/>
              <w:t xml:space="preserve">муниципального </w:t>
            </w:r>
            <w:r>
              <w:t>района «Могойтуйский район»</w:t>
            </w:r>
          </w:p>
        </w:tc>
        <w:tc>
          <w:tcPr>
            <w:tcW w:w="2190" w:type="dxa"/>
          </w:tcPr>
          <w:p w:rsidR="006552D4" w:rsidRPr="006552D4" w:rsidRDefault="006552D4" w:rsidP="00CC579D">
            <w:pPr>
              <w:autoSpaceDE w:val="0"/>
              <w:autoSpaceDN w:val="0"/>
              <w:jc w:val="center"/>
            </w:pPr>
            <w:r w:rsidRPr="006552D4">
              <w:lastRenderedPageBreak/>
              <w:t>в течение 202</w:t>
            </w:r>
            <w:r w:rsidR="00CC579D">
              <w:t>4</w:t>
            </w:r>
            <w:r w:rsidRPr="006552D4">
              <w:t xml:space="preserve"> г.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Юридические лица, </w:t>
            </w:r>
            <w:r w:rsidRPr="006552D4">
              <w:lastRenderedPageBreak/>
              <w:t>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2216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>3.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6552D4" w:rsidRPr="006552D4" w:rsidRDefault="006552D4" w:rsidP="00CC579D">
            <w:pPr>
              <w:autoSpaceDE w:val="0"/>
              <w:autoSpaceDN w:val="0"/>
              <w:jc w:val="center"/>
            </w:pPr>
            <w:r w:rsidRPr="006552D4">
              <w:t xml:space="preserve">ежегодно, не позднее </w:t>
            </w:r>
            <w:r w:rsidRPr="0080328D">
              <w:t>1 марта 202</w:t>
            </w:r>
            <w:r w:rsidR="00CC579D" w:rsidRPr="0080328D">
              <w:t>4</w:t>
            </w:r>
            <w:r w:rsidRPr="0080328D">
              <w:t xml:space="preserve"> года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076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4.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3305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5.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</w:t>
            </w:r>
          </w:p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6552D4" w:rsidRPr="006552D4" w:rsidRDefault="006552D4" w:rsidP="00CC579D">
            <w:pPr>
              <w:autoSpaceDE w:val="0"/>
              <w:autoSpaceDN w:val="0"/>
              <w:jc w:val="center"/>
            </w:pPr>
            <w:r w:rsidRPr="006552D4">
              <w:t>По обращениям контролируемых лиц и их представителей, поступившим в течени</w:t>
            </w:r>
            <w:proofErr w:type="gramStart"/>
            <w:r w:rsidRPr="006552D4">
              <w:t>и</w:t>
            </w:r>
            <w:proofErr w:type="gramEnd"/>
            <w:r w:rsidRPr="006552D4">
              <w:t xml:space="preserve"> 202</w:t>
            </w:r>
            <w:r w:rsidR="00CC579D">
              <w:t>4</w:t>
            </w:r>
            <w:r w:rsidRPr="006552D4">
              <w:t xml:space="preserve"> года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88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6.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0" w:type="dxa"/>
          </w:tcPr>
          <w:p w:rsidR="006552D4" w:rsidRPr="006552D4" w:rsidRDefault="00CC579D" w:rsidP="00CC579D">
            <w:pPr>
              <w:autoSpaceDE w:val="0"/>
              <w:autoSpaceDN w:val="0"/>
              <w:jc w:val="center"/>
            </w:pPr>
            <w:r>
              <w:t xml:space="preserve">не реже чем 2 раза в год </w:t>
            </w:r>
            <w:proofErr w:type="gramStart"/>
            <w:r>
              <w:t>(</w:t>
            </w:r>
            <w:r w:rsidR="006552D4" w:rsidRPr="006552D4">
              <w:t xml:space="preserve"> </w:t>
            </w:r>
            <w:proofErr w:type="gramEnd"/>
            <w:r w:rsidR="006552D4" w:rsidRPr="006552D4">
              <w:t>IV квартал 202</w:t>
            </w:r>
            <w:r>
              <w:t>4</w:t>
            </w:r>
            <w:r w:rsidR="006552D4" w:rsidRPr="006552D4">
              <w:t xml:space="preserve"> г.)</w:t>
            </w: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552D4" w:rsidRPr="006552D4" w:rsidTr="00382D4E">
        <w:trPr>
          <w:trHeight w:val="188"/>
        </w:trPr>
        <w:tc>
          <w:tcPr>
            <w:tcW w:w="72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7.</w:t>
            </w:r>
          </w:p>
        </w:tc>
        <w:tc>
          <w:tcPr>
            <w:tcW w:w="4320" w:type="dxa"/>
          </w:tcPr>
          <w:p w:rsidR="006552D4" w:rsidRPr="006552D4" w:rsidRDefault="006552D4" w:rsidP="00382D4E">
            <w:pPr>
              <w:autoSpaceDE w:val="0"/>
              <w:autoSpaceDN w:val="0"/>
            </w:pPr>
            <w:r w:rsidRPr="006552D4">
              <w:t xml:space="preserve">Разработка и утверждение Программы (Плана) профилактики рисков причинения вреда (ущерба) охраняемым законом ценностям по муниципальному </w:t>
            </w:r>
            <w:r w:rsidRPr="006552D4">
              <w:lastRenderedPageBreak/>
              <w:t>земельному контролю на территории</w:t>
            </w:r>
          </w:p>
          <w:p w:rsidR="006552D4" w:rsidRPr="006552D4" w:rsidRDefault="006552D4" w:rsidP="00CC579D">
            <w:pPr>
              <w:autoSpaceDE w:val="0"/>
              <w:autoSpaceDN w:val="0"/>
            </w:pPr>
            <w:r w:rsidRPr="006552D4">
              <w:t xml:space="preserve">муниципального </w:t>
            </w:r>
            <w:r w:rsidR="00CC579D">
              <w:t xml:space="preserve">района </w:t>
            </w:r>
            <w:r w:rsidRPr="006552D4">
              <w:t>«</w:t>
            </w:r>
            <w:proofErr w:type="spellStart"/>
            <w:r w:rsidR="00CC579D">
              <w:t>Могойтуйский</w:t>
            </w:r>
            <w:proofErr w:type="spellEnd"/>
            <w:r w:rsidR="00CC579D">
              <w:t xml:space="preserve"> район</w:t>
            </w:r>
            <w:r w:rsidRPr="006552D4">
              <w:t>»  на 202</w:t>
            </w:r>
            <w:r w:rsidR="00CC579D">
              <w:t>5</w:t>
            </w:r>
            <w:r w:rsidRPr="006552D4">
              <w:t xml:space="preserve"> год</w:t>
            </w:r>
          </w:p>
        </w:tc>
        <w:tc>
          <w:tcPr>
            <w:tcW w:w="2190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 xml:space="preserve">не позднее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 октября 202</w:t>
            </w:r>
            <w:r w:rsidR="00CC579D">
              <w:t>4</w:t>
            </w:r>
            <w:r w:rsidRPr="006552D4">
              <w:t xml:space="preserve"> г. (разработка);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 xml:space="preserve">не позднее 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>20 декабря 202</w:t>
            </w:r>
            <w:r w:rsidR="00CC579D">
              <w:t>4</w:t>
            </w:r>
            <w:r w:rsidRPr="006552D4">
              <w:t xml:space="preserve"> г.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(утверждение)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409" w:type="dxa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lastRenderedPageBreak/>
              <w:t xml:space="preserve">Юридические лица, индивидуальные предприниматели, граждане, органы </w:t>
            </w:r>
            <w:r w:rsidRPr="006552D4">
              <w:lastRenderedPageBreak/>
              <w:t>государственной власти, органы местного самоуправления</w:t>
            </w:r>
          </w:p>
        </w:tc>
      </w:tr>
    </w:tbl>
    <w:p w:rsidR="006552D4" w:rsidRPr="006552D4" w:rsidRDefault="006552D4" w:rsidP="006552D4">
      <w:pPr>
        <w:autoSpaceDE w:val="0"/>
        <w:autoSpaceDN w:val="0"/>
        <w:rPr>
          <w:b/>
          <w:sz w:val="26"/>
          <w:szCs w:val="26"/>
        </w:rPr>
      </w:pPr>
    </w:p>
    <w:p w:rsidR="006552D4" w:rsidRPr="006552D4" w:rsidRDefault="006552D4" w:rsidP="006552D4">
      <w:pPr>
        <w:autoSpaceDE w:val="0"/>
        <w:autoSpaceDN w:val="0"/>
        <w:jc w:val="center"/>
        <w:rPr>
          <w:b/>
          <w:sz w:val="26"/>
          <w:szCs w:val="26"/>
        </w:rPr>
      </w:pPr>
      <w:r w:rsidRPr="006552D4">
        <w:rPr>
          <w:b/>
          <w:sz w:val="26"/>
          <w:szCs w:val="26"/>
        </w:rPr>
        <w:t>Раздел IV. Показатели результативности и эффективности программы профилактики рисков причинения вреда</w:t>
      </w:r>
    </w:p>
    <w:p w:rsidR="006552D4" w:rsidRPr="006552D4" w:rsidRDefault="006552D4" w:rsidP="006552D4">
      <w:pPr>
        <w:ind w:firstLine="709"/>
        <w:rPr>
          <w:sz w:val="26"/>
          <w:szCs w:val="26"/>
        </w:rPr>
      </w:pP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</w:t>
      </w:r>
      <w:r>
        <w:rPr>
          <w:sz w:val="26"/>
          <w:szCs w:val="26"/>
        </w:rPr>
        <w:t>района «Могойтуйский район»</w:t>
      </w:r>
      <w:r w:rsidR="00717125">
        <w:rPr>
          <w:sz w:val="26"/>
          <w:szCs w:val="26"/>
        </w:rPr>
        <w:t>.</w:t>
      </w:r>
      <w:r w:rsidRPr="006552D4">
        <w:rPr>
          <w:sz w:val="26"/>
          <w:szCs w:val="26"/>
        </w:rPr>
        <w:t xml:space="preserve"> Отдельное финансирование на проведение контрольных мероприятий и реализации настоящей программы не предусмотрено.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80328D">
        <w:rPr>
          <w:sz w:val="26"/>
          <w:szCs w:val="26"/>
        </w:rPr>
        <w:t>4</w:t>
      </w:r>
      <w:r w:rsidRPr="006552D4">
        <w:rPr>
          <w:sz w:val="26"/>
          <w:szCs w:val="26"/>
        </w:rPr>
        <w:t xml:space="preserve"> год приведен в таблице № 2. 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Текущее управление и контроль за ходом реализации Программы осуществляет администрация </w:t>
      </w:r>
      <w:r w:rsidR="00717125">
        <w:rPr>
          <w:sz w:val="26"/>
          <w:szCs w:val="26"/>
        </w:rPr>
        <w:t>МР «Могойтуйский район»</w:t>
      </w:r>
      <w:r w:rsidRPr="006552D4">
        <w:rPr>
          <w:sz w:val="26"/>
          <w:szCs w:val="26"/>
        </w:rPr>
        <w:t xml:space="preserve"> Ответственным исполнителем Программы является Управление</w:t>
      </w:r>
      <w:r w:rsidR="00717125">
        <w:rPr>
          <w:sz w:val="26"/>
          <w:szCs w:val="26"/>
        </w:rPr>
        <w:t xml:space="preserve"> экономического развития, прогнозирования и имущества администрации муниципального района «Могойтуйский район»</w:t>
      </w:r>
      <w:r w:rsidRPr="006552D4">
        <w:rPr>
          <w:sz w:val="26"/>
          <w:szCs w:val="26"/>
        </w:rPr>
        <w:t>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Мониторинг реализации Программы осуществляется на регулярной основе.</w:t>
      </w:r>
    </w:p>
    <w:p w:rsidR="00717125" w:rsidRDefault="00717125" w:rsidP="006552D4">
      <w:pPr>
        <w:autoSpaceDE w:val="0"/>
        <w:autoSpaceDN w:val="0"/>
        <w:jc w:val="right"/>
        <w:rPr>
          <w:sz w:val="20"/>
          <w:szCs w:val="20"/>
        </w:rPr>
      </w:pPr>
    </w:p>
    <w:p w:rsidR="006552D4" w:rsidRPr="006552D4" w:rsidRDefault="006552D4" w:rsidP="006552D4">
      <w:pPr>
        <w:autoSpaceDE w:val="0"/>
        <w:autoSpaceDN w:val="0"/>
        <w:jc w:val="right"/>
        <w:rPr>
          <w:sz w:val="20"/>
          <w:szCs w:val="20"/>
        </w:rPr>
      </w:pPr>
      <w:r w:rsidRPr="006552D4">
        <w:rPr>
          <w:sz w:val="20"/>
          <w:szCs w:val="20"/>
        </w:rPr>
        <w:t>Таблица № 2</w:t>
      </w:r>
    </w:p>
    <w:p w:rsidR="006552D4" w:rsidRPr="006552D4" w:rsidRDefault="006552D4" w:rsidP="006552D4">
      <w:pPr>
        <w:autoSpaceDE w:val="0"/>
        <w:autoSpaceDN w:val="0"/>
        <w:jc w:val="right"/>
        <w:rPr>
          <w:b/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6552D4" w:rsidRPr="006552D4" w:rsidTr="00382D4E"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№ п/п</w:t>
            </w:r>
          </w:p>
        </w:tc>
        <w:tc>
          <w:tcPr>
            <w:tcW w:w="231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ФИО</w:t>
            </w:r>
          </w:p>
          <w:p w:rsidR="006552D4" w:rsidRPr="006552D4" w:rsidRDefault="006552D4" w:rsidP="00382D4E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Должность</w:t>
            </w:r>
          </w:p>
        </w:tc>
        <w:tc>
          <w:tcPr>
            <w:tcW w:w="1985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Функции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Контакты</w:t>
            </w:r>
          </w:p>
        </w:tc>
      </w:tr>
    </w:tbl>
    <w:p w:rsidR="006552D4" w:rsidRPr="006552D4" w:rsidRDefault="006552D4" w:rsidP="006552D4">
      <w:pPr>
        <w:rPr>
          <w:sz w:val="2"/>
          <w:szCs w:val="2"/>
          <w:lang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6552D4" w:rsidRPr="006552D4" w:rsidTr="00382D4E">
        <w:trPr>
          <w:trHeight w:val="28"/>
          <w:tblHeader/>
        </w:trPr>
        <w:tc>
          <w:tcPr>
            <w:tcW w:w="720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1</w:t>
            </w:r>
          </w:p>
        </w:tc>
        <w:tc>
          <w:tcPr>
            <w:tcW w:w="2319" w:type="dxa"/>
            <w:vAlign w:val="center"/>
          </w:tcPr>
          <w:p w:rsidR="006552D4" w:rsidRPr="006552D4" w:rsidRDefault="0080328D" w:rsidP="00717125">
            <w:pPr>
              <w:autoSpaceDE w:val="0"/>
              <w:autoSpaceDN w:val="0"/>
              <w:jc w:val="center"/>
            </w:pPr>
            <w:proofErr w:type="spellStart"/>
            <w:r>
              <w:t>Жаргалов</w:t>
            </w:r>
            <w:proofErr w:type="spellEnd"/>
            <w:r>
              <w:t xml:space="preserve"> </w:t>
            </w:r>
            <w:proofErr w:type="spellStart"/>
            <w:r>
              <w:t>Баир</w:t>
            </w:r>
            <w:proofErr w:type="spellEnd"/>
            <w:r>
              <w:t xml:space="preserve"> </w:t>
            </w:r>
            <w:proofErr w:type="spellStart"/>
            <w:r>
              <w:t>Цыденжапович</w:t>
            </w:r>
            <w:proofErr w:type="spellEnd"/>
          </w:p>
        </w:tc>
        <w:tc>
          <w:tcPr>
            <w:tcW w:w="2268" w:type="dxa"/>
            <w:vAlign w:val="center"/>
          </w:tcPr>
          <w:p w:rsidR="006552D4" w:rsidRPr="006552D4" w:rsidRDefault="0080328D" w:rsidP="00717125">
            <w:pPr>
              <w:autoSpaceDE w:val="0"/>
              <w:autoSpaceDN w:val="0"/>
              <w:jc w:val="center"/>
            </w:pPr>
            <w:r>
              <w:t>И.о</w:t>
            </w:r>
            <w:proofErr w:type="gramStart"/>
            <w:r>
              <w:t>.</w:t>
            </w:r>
            <w:r w:rsidR="006552D4" w:rsidRPr="006552D4">
              <w:t>Н</w:t>
            </w:r>
            <w:proofErr w:type="gramEnd"/>
            <w:r w:rsidR="006552D4" w:rsidRPr="006552D4">
              <w:t>ачальник</w:t>
            </w:r>
            <w:r>
              <w:t>а</w:t>
            </w:r>
            <w:r w:rsidR="006552D4" w:rsidRPr="006552D4">
              <w:t xml:space="preserve"> управления </w:t>
            </w:r>
            <w:r w:rsidR="00717125">
              <w:t>экон</w:t>
            </w:r>
            <w:r>
              <w:t>о</w:t>
            </w:r>
            <w:r w:rsidR="00717125">
              <w:t>мического развития, прогнозирования и имущества администрации муниципального района «Могойтуйский район»</w:t>
            </w:r>
            <w:r w:rsidR="006552D4" w:rsidRPr="006552D4">
              <w:t xml:space="preserve"> (Руководитель и координатор Программы)</w:t>
            </w:r>
          </w:p>
        </w:tc>
        <w:tc>
          <w:tcPr>
            <w:tcW w:w="1985" w:type="dxa"/>
            <w:vAlign w:val="center"/>
          </w:tcPr>
          <w:p w:rsidR="006552D4" w:rsidRPr="006552D4" w:rsidRDefault="006552D4" w:rsidP="00382D4E">
            <w:pPr>
              <w:autoSpaceDE w:val="0"/>
              <w:autoSpaceDN w:val="0"/>
              <w:jc w:val="center"/>
            </w:pPr>
            <w:r w:rsidRPr="006552D4"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6552D4" w:rsidRPr="006552D4" w:rsidRDefault="006552D4" w:rsidP="0080328D">
            <w:pPr>
              <w:autoSpaceDE w:val="0"/>
              <w:autoSpaceDN w:val="0"/>
              <w:jc w:val="center"/>
            </w:pPr>
            <w:r w:rsidRPr="006552D4">
              <w:t>8(</w:t>
            </w:r>
            <w:r w:rsidR="00717125">
              <w:t>30255</w:t>
            </w:r>
            <w:r w:rsidRPr="006552D4">
              <w:t xml:space="preserve">) </w:t>
            </w:r>
            <w:r w:rsidR="00717125">
              <w:t>2</w:t>
            </w:r>
            <w:r w:rsidR="0080328D">
              <w:t>1622</w:t>
            </w:r>
          </w:p>
        </w:tc>
      </w:tr>
    </w:tbl>
    <w:p w:rsidR="006552D4" w:rsidRPr="006552D4" w:rsidRDefault="006552D4" w:rsidP="006552D4">
      <w:pPr>
        <w:autoSpaceDE w:val="0"/>
        <w:autoSpaceDN w:val="0"/>
        <w:rPr>
          <w:sz w:val="26"/>
          <w:szCs w:val="26"/>
        </w:rPr>
      </w:pP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</w:t>
      </w:r>
      <w:r w:rsidRPr="006552D4">
        <w:rPr>
          <w:sz w:val="26"/>
          <w:szCs w:val="26"/>
        </w:rPr>
        <w:lastRenderedPageBreak/>
        <w:t>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Целевые показатели результативности мероприятий Программы по муниципальному земельному контролю: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1) Количество выявленных нарушений требований земельного законодательства, шт.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Показатели эффективности: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2) Количество проведенных профилактических мероприятий контрольным (надзорным) органом, ед.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3) Доля профилактических мероприятий в объеме контрольно-надзорных мероприятий, %.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:rsidR="006552D4" w:rsidRPr="006552D4" w:rsidRDefault="006552D4" w:rsidP="00717125">
      <w:pPr>
        <w:ind w:firstLine="709"/>
        <w:jc w:val="both"/>
        <w:rPr>
          <w:sz w:val="26"/>
          <w:szCs w:val="26"/>
        </w:rPr>
      </w:pPr>
      <w:r w:rsidRPr="006552D4">
        <w:rPr>
          <w:sz w:val="26"/>
          <w:szCs w:val="26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6552D4" w:rsidRPr="006552D4" w:rsidRDefault="006552D4" w:rsidP="006552D4">
      <w:pPr>
        <w:autoSpaceDE w:val="0"/>
        <w:autoSpaceDN w:val="0"/>
        <w:ind w:right="-273"/>
        <w:jc w:val="right"/>
        <w:rPr>
          <w:sz w:val="20"/>
          <w:szCs w:val="20"/>
        </w:rPr>
      </w:pPr>
      <w:r w:rsidRPr="006552D4">
        <w:rPr>
          <w:sz w:val="20"/>
          <w:szCs w:val="20"/>
        </w:rPr>
        <w:t>Таблица № 3</w:t>
      </w:r>
    </w:p>
    <w:p w:rsidR="006552D4" w:rsidRPr="006552D4" w:rsidRDefault="006552D4" w:rsidP="006552D4">
      <w:pPr>
        <w:tabs>
          <w:tab w:val="left" w:pos="388"/>
        </w:tabs>
        <w:rPr>
          <w:sz w:val="28"/>
          <w:szCs w:val="28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6552D4" w:rsidRPr="006552D4" w:rsidTr="00382D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6552D4" w:rsidRPr="006552D4" w:rsidTr="00382D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Пла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 xml:space="preserve">-новое 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Фак-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тическ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>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оезначе-ние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Отк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>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ло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>-не-</w:t>
            </w:r>
            <w:proofErr w:type="spellStart"/>
            <w:r w:rsidRPr="006552D4">
              <w:rPr>
                <w:b/>
                <w:sz w:val="20"/>
                <w:szCs w:val="20"/>
                <w:lang w:eastAsia="ar-SA"/>
              </w:rPr>
              <w:t>ние</w:t>
            </w:r>
            <w:proofErr w:type="spellEnd"/>
            <w:r w:rsidRPr="006552D4">
              <w:rPr>
                <w:b/>
                <w:sz w:val="20"/>
                <w:szCs w:val="20"/>
                <w:lang w:eastAsia="ar-SA"/>
              </w:rPr>
              <w:t xml:space="preserve">, </w:t>
            </w: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552D4">
              <w:rPr>
                <w:b/>
                <w:sz w:val="20"/>
                <w:szCs w:val="20"/>
                <w:lang w:eastAsia="ar-SA"/>
              </w:rPr>
              <w:t>Иные</w:t>
            </w:r>
          </w:p>
        </w:tc>
      </w:tr>
      <w:tr w:rsidR="006552D4" w:rsidRPr="006552D4" w:rsidTr="00382D4E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</w:pPr>
          </w:p>
          <w:p w:rsidR="006552D4" w:rsidRPr="006552D4" w:rsidRDefault="006552D4" w:rsidP="00382D4E">
            <w:pPr>
              <w:autoSpaceDE w:val="0"/>
              <w:autoSpaceDN w:val="0"/>
              <w:rPr>
                <w:sz w:val="20"/>
                <w:szCs w:val="20"/>
              </w:rPr>
            </w:pPr>
            <w:r w:rsidRPr="006552D4">
              <w:rPr>
                <w:sz w:val="20"/>
                <w:szCs w:val="20"/>
              </w:rPr>
              <w:t>Программа (План)</w:t>
            </w:r>
          </w:p>
          <w:p w:rsidR="006552D4" w:rsidRPr="006552D4" w:rsidRDefault="006552D4" w:rsidP="00382D4E">
            <w:pPr>
              <w:autoSpaceDE w:val="0"/>
              <w:autoSpaceDN w:val="0"/>
              <w:rPr>
                <w:sz w:val="20"/>
                <w:szCs w:val="20"/>
              </w:rPr>
            </w:pPr>
            <w:r w:rsidRPr="006552D4">
              <w:rPr>
                <w:sz w:val="20"/>
                <w:szCs w:val="20"/>
              </w:rPr>
              <w:t>«Профилактика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6552D4" w:rsidRPr="006552D4" w:rsidRDefault="006552D4" w:rsidP="008032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</w:rPr>
              <w:t xml:space="preserve">муниципального </w:t>
            </w:r>
            <w:r w:rsidR="00717125">
              <w:rPr>
                <w:sz w:val="20"/>
                <w:szCs w:val="20"/>
              </w:rPr>
              <w:t>района «</w:t>
            </w:r>
            <w:proofErr w:type="spellStart"/>
            <w:r w:rsidR="00717125">
              <w:rPr>
                <w:sz w:val="20"/>
                <w:szCs w:val="20"/>
              </w:rPr>
              <w:t>Могойтуйский</w:t>
            </w:r>
            <w:proofErr w:type="spellEnd"/>
            <w:r w:rsidR="00717125">
              <w:rPr>
                <w:sz w:val="20"/>
                <w:szCs w:val="20"/>
              </w:rPr>
              <w:t xml:space="preserve"> район» на 202</w:t>
            </w:r>
            <w:r w:rsidR="0080328D">
              <w:rPr>
                <w:sz w:val="20"/>
                <w:szCs w:val="20"/>
              </w:rPr>
              <w:t>4</w:t>
            </w:r>
            <w:r w:rsidRPr="006552D4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803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202</w:t>
            </w:r>
            <w:r w:rsidR="0080328D">
              <w:rPr>
                <w:sz w:val="20"/>
                <w:szCs w:val="20"/>
                <w:lang w:eastAsia="ar-SA"/>
              </w:rPr>
              <w:t>4</w:t>
            </w:r>
            <w:r w:rsidRPr="006552D4">
              <w:rPr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Выполнение запланированных мероприятий</w:t>
            </w:r>
          </w:p>
          <w:p w:rsidR="006552D4" w:rsidRPr="006552D4" w:rsidRDefault="006552D4" w:rsidP="00382D4E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%</w:t>
            </w: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6552D4" w:rsidRPr="006552D4" w:rsidRDefault="006552D4" w:rsidP="0038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6552D4">
              <w:rPr>
                <w:sz w:val="20"/>
                <w:szCs w:val="20"/>
                <w:lang w:eastAsia="ar-SA"/>
              </w:rPr>
              <w:t>0,00</w:t>
            </w:r>
          </w:p>
        </w:tc>
      </w:tr>
    </w:tbl>
    <w:p w:rsidR="006552D4" w:rsidRPr="006552D4" w:rsidRDefault="006552D4" w:rsidP="006552D4">
      <w:pPr>
        <w:autoSpaceDN w:val="0"/>
        <w:textAlignment w:val="baseline"/>
        <w:rPr>
          <w:rFonts w:eastAsia="SimSun"/>
          <w:kern w:val="3"/>
          <w:lang w:eastAsia="zh-CN" w:bidi="hi-IN"/>
        </w:rPr>
      </w:pPr>
    </w:p>
    <w:p w:rsidR="006552D4" w:rsidRPr="006552D4" w:rsidRDefault="006552D4" w:rsidP="006552D4">
      <w:pPr>
        <w:autoSpaceDE w:val="0"/>
        <w:ind w:left="1416" w:hanging="1416"/>
        <w:rPr>
          <w:sz w:val="22"/>
          <w:szCs w:val="22"/>
          <w:lang w:eastAsia="ar-SA"/>
        </w:rPr>
      </w:pPr>
    </w:p>
    <w:p w:rsidR="006552D4" w:rsidRPr="006552D4" w:rsidRDefault="00717125" w:rsidP="00717125">
      <w:pPr>
        <w:jc w:val="center"/>
        <w:rPr>
          <w:sz w:val="32"/>
        </w:rPr>
      </w:pPr>
      <w:r>
        <w:rPr>
          <w:sz w:val="32"/>
        </w:rPr>
        <w:t>____________________</w:t>
      </w:r>
    </w:p>
    <w:sectPr w:rsidR="006552D4" w:rsidRPr="006552D4" w:rsidSect="00717125">
      <w:pgSz w:w="11906" w:h="16838"/>
      <w:pgMar w:top="1134" w:right="567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48D"/>
    <w:multiLevelType w:val="multilevel"/>
    <w:tmpl w:val="5E0C6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06FF8"/>
    <w:multiLevelType w:val="multilevel"/>
    <w:tmpl w:val="ED00C180"/>
    <w:numStyleLink w:val="1"/>
  </w:abstractNum>
  <w:abstractNum w:abstractNumId="2">
    <w:nsid w:val="1A0149F4"/>
    <w:multiLevelType w:val="multilevel"/>
    <w:tmpl w:val="08DAFA14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36264"/>
    <w:multiLevelType w:val="hybridMultilevel"/>
    <w:tmpl w:val="D21630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D820888"/>
    <w:multiLevelType w:val="hybridMultilevel"/>
    <w:tmpl w:val="ED00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64341"/>
    <w:multiLevelType w:val="multilevel"/>
    <w:tmpl w:val="ED00C180"/>
    <w:styleLink w:val="1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F5867"/>
    <w:multiLevelType w:val="hybridMultilevel"/>
    <w:tmpl w:val="7CD81048"/>
    <w:lvl w:ilvl="0" w:tplc="661CA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A7226"/>
    <w:multiLevelType w:val="multilevel"/>
    <w:tmpl w:val="82B0F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61E7D9F"/>
    <w:multiLevelType w:val="hybridMultilevel"/>
    <w:tmpl w:val="E23A8B8A"/>
    <w:lvl w:ilvl="0" w:tplc="A11ACBBE">
      <w:start w:val="1"/>
      <w:numFmt w:val="decimal"/>
      <w:suff w:val="space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63B73A88"/>
    <w:multiLevelType w:val="multilevel"/>
    <w:tmpl w:val="4D0AC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1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3F66887"/>
    <w:multiLevelType w:val="hybridMultilevel"/>
    <w:tmpl w:val="F66089B2"/>
    <w:lvl w:ilvl="0" w:tplc="89CCC0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8663C54"/>
    <w:multiLevelType w:val="multilevel"/>
    <w:tmpl w:val="19181D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45F2"/>
    <w:rsid w:val="00056AB2"/>
    <w:rsid w:val="00073289"/>
    <w:rsid w:val="00095731"/>
    <w:rsid w:val="001039EA"/>
    <w:rsid w:val="001054F0"/>
    <w:rsid w:val="00136DA2"/>
    <w:rsid w:val="001754BB"/>
    <w:rsid w:val="001D1C63"/>
    <w:rsid w:val="001F7E2C"/>
    <w:rsid w:val="00224544"/>
    <w:rsid w:val="00241B7D"/>
    <w:rsid w:val="0025079F"/>
    <w:rsid w:val="0028429F"/>
    <w:rsid w:val="002C6437"/>
    <w:rsid w:val="002E0732"/>
    <w:rsid w:val="003512C0"/>
    <w:rsid w:val="00351A2F"/>
    <w:rsid w:val="003B1730"/>
    <w:rsid w:val="003C0D51"/>
    <w:rsid w:val="003F375F"/>
    <w:rsid w:val="00415102"/>
    <w:rsid w:val="00433E55"/>
    <w:rsid w:val="004745F2"/>
    <w:rsid w:val="00474888"/>
    <w:rsid w:val="0048289A"/>
    <w:rsid w:val="004B693D"/>
    <w:rsid w:val="00554A12"/>
    <w:rsid w:val="005B6FB2"/>
    <w:rsid w:val="005C538D"/>
    <w:rsid w:val="006234DD"/>
    <w:rsid w:val="00653324"/>
    <w:rsid w:val="006552D4"/>
    <w:rsid w:val="006B186D"/>
    <w:rsid w:val="006B308A"/>
    <w:rsid w:val="006E4EBE"/>
    <w:rsid w:val="00717125"/>
    <w:rsid w:val="00795BD6"/>
    <w:rsid w:val="007B157F"/>
    <w:rsid w:val="007B58B3"/>
    <w:rsid w:val="007C6D41"/>
    <w:rsid w:val="00800C73"/>
    <w:rsid w:val="0080328D"/>
    <w:rsid w:val="0082682E"/>
    <w:rsid w:val="00836C96"/>
    <w:rsid w:val="0086022A"/>
    <w:rsid w:val="00875B8C"/>
    <w:rsid w:val="008B2AF1"/>
    <w:rsid w:val="008F1425"/>
    <w:rsid w:val="00910627"/>
    <w:rsid w:val="00911368"/>
    <w:rsid w:val="009915A3"/>
    <w:rsid w:val="009C09E8"/>
    <w:rsid w:val="009E409C"/>
    <w:rsid w:val="009E490A"/>
    <w:rsid w:val="009F0912"/>
    <w:rsid w:val="00A515D0"/>
    <w:rsid w:val="00A7752C"/>
    <w:rsid w:val="00AA5ADB"/>
    <w:rsid w:val="00AC1709"/>
    <w:rsid w:val="00AC43D9"/>
    <w:rsid w:val="00B149CC"/>
    <w:rsid w:val="00B14E2A"/>
    <w:rsid w:val="00B25C39"/>
    <w:rsid w:val="00B305C4"/>
    <w:rsid w:val="00B545F2"/>
    <w:rsid w:val="00B81ADA"/>
    <w:rsid w:val="00B81F29"/>
    <w:rsid w:val="00BA1183"/>
    <w:rsid w:val="00BD522D"/>
    <w:rsid w:val="00C55B54"/>
    <w:rsid w:val="00C63602"/>
    <w:rsid w:val="00C81660"/>
    <w:rsid w:val="00C839CA"/>
    <w:rsid w:val="00CB5F43"/>
    <w:rsid w:val="00CC579D"/>
    <w:rsid w:val="00CD7094"/>
    <w:rsid w:val="00CF3402"/>
    <w:rsid w:val="00CF59A8"/>
    <w:rsid w:val="00D017BE"/>
    <w:rsid w:val="00D30D1C"/>
    <w:rsid w:val="00D41107"/>
    <w:rsid w:val="00D82E93"/>
    <w:rsid w:val="00D92671"/>
    <w:rsid w:val="00DA362D"/>
    <w:rsid w:val="00DC7E77"/>
    <w:rsid w:val="00E141A2"/>
    <w:rsid w:val="00E72340"/>
    <w:rsid w:val="00EA2C5C"/>
    <w:rsid w:val="00EA436D"/>
    <w:rsid w:val="00EA5796"/>
    <w:rsid w:val="00EB6B4E"/>
    <w:rsid w:val="00F27262"/>
    <w:rsid w:val="00F4407B"/>
    <w:rsid w:val="00FA05B6"/>
    <w:rsid w:val="00FC635E"/>
    <w:rsid w:val="00FF2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745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241B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41B7D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241B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911368"/>
    <w:pPr>
      <w:ind w:left="720"/>
      <w:contextualSpacing/>
    </w:pPr>
  </w:style>
  <w:style w:type="numbering" w:customStyle="1" w:styleId="1">
    <w:name w:val="Стиль1"/>
    <w:uiPriority w:val="99"/>
    <w:rsid w:val="00073289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2024-07-18T00:05:00Z</cp:lastPrinted>
  <dcterms:created xsi:type="dcterms:W3CDTF">2022-12-26T02:42:00Z</dcterms:created>
  <dcterms:modified xsi:type="dcterms:W3CDTF">2024-07-18T08:33:00Z</dcterms:modified>
</cp:coreProperties>
</file>