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0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8020" cy="683895"/>
            <wp:effectExtent l="19050" t="0" r="0" b="0"/>
            <wp:docPr id="1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064" w:rsidRPr="008B1064" w:rsidRDefault="008B1064" w:rsidP="008B10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1064">
        <w:rPr>
          <w:rFonts w:ascii="Times New Roman" w:hAnsi="Times New Roman" w:cs="Times New Roman"/>
          <w:b/>
          <w:sz w:val="26"/>
          <w:szCs w:val="26"/>
        </w:rPr>
        <w:t>Забайкальский край</w:t>
      </w:r>
    </w:p>
    <w:tbl>
      <w:tblPr>
        <w:tblW w:w="9782" w:type="dxa"/>
        <w:tblInd w:w="-34" w:type="dxa"/>
        <w:tblLayout w:type="fixed"/>
        <w:tblLook w:val="0000"/>
      </w:tblPr>
      <w:tblGrid>
        <w:gridCol w:w="9782"/>
      </w:tblGrid>
      <w:tr w:rsidR="008B1064" w:rsidRPr="008B1064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8B1064" w:rsidRDefault="008B1064" w:rsidP="008B106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Муниципальный район «Могойтуйский район»</w:t>
            </w:r>
          </w:p>
        </w:tc>
      </w:tr>
      <w:tr w:rsidR="008B1064" w:rsidRPr="008B1064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8B1064" w:rsidRDefault="008B1064" w:rsidP="008B1064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</w:p>
          <w:p w:rsidR="008B1064" w:rsidRPr="008B1064" w:rsidRDefault="008B1064" w:rsidP="008B1064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КОНТРОЛЬНО-СЧЕТНАЯ ПАЛАТА </w:t>
            </w:r>
          </w:p>
        </w:tc>
      </w:tr>
      <w:tr w:rsidR="008B1064" w:rsidRPr="008B1064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8B1064" w:rsidRDefault="008B1064" w:rsidP="008B10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>Гагарина ул., д.19, п. Могойтуй, Могойтуйский район, Забайкальский край, 687420</w:t>
            </w:r>
          </w:p>
          <w:p w:rsidR="008B1064" w:rsidRPr="008B1064" w:rsidRDefault="008B1064" w:rsidP="008B10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 xml:space="preserve">Тел./факс (30255) 2-12-30, </w:t>
            </w:r>
            <w:r w:rsidRPr="008B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Email</w:t>
            </w: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8B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kspmog</w:t>
            </w:r>
            <w:proofErr w:type="spellEnd"/>
            <w:r w:rsidRPr="008B1064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8B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8B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8B1064" w:rsidRPr="008B1064" w:rsidRDefault="008B1064" w:rsidP="008B10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>ОКПО 12644168, ОГРН 1137580000073, ИНН/КПП 8003039868/800301001</w:t>
            </w:r>
          </w:p>
        </w:tc>
      </w:tr>
      <w:tr w:rsidR="008B1064" w:rsidRPr="00667906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667906" w:rsidRDefault="00321B82" w:rsidP="008B1064">
            <w:pPr>
              <w:suppressAutoHyphens/>
              <w:spacing w:after="0"/>
              <w:rPr>
                <w:rFonts w:ascii="Arial" w:hAnsi="Arial"/>
                <w:sz w:val="26"/>
                <w:szCs w:val="26"/>
              </w:rPr>
            </w:pPr>
            <w:r w:rsidRPr="00321B82">
              <w:rPr>
                <w:rFonts w:ascii="Times New Roman" w:hAnsi="Times New Roman"/>
                <w:noProof/>
                <w:sz w:val="26"/>
                <w:szCs w:val="26"/>
              </w:rPr>
              <w:pict>
                <v:line id="_x0000_s1026" style="position:absolute;z-index:251660288;mso-position-horizontal-relative:text;mso-position-vertical-relative:text" from="5.95pt,6.55pt" to="474.15pt,6.55pt" o:allowincell="f" strokeweight="3pt"/>
              </w:pict>
            </w:r>
          </w:p>
        </w:tc>
      </w:tr>
    </w:tbl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064" w:rsidRPr="00E8685B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проведения контрольного мероприятия</w:t>
      </w:r>
    </w:p>
    <w:p w:rsidR="00286529" w:rsidRPr="00E8685B" w:rsidRDefault="00286529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1064" w:rsidRPr="00E87C65" w:rsidRDefault="008B1064" w:rsidP="008B10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B1064" w:rsidRPr="007B0ED4" w:rsidRDefault="008961A6" w:rsidP="008961A6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8B1064"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(тема) контрольного мероприятия</w:t>
      </w:r>
      <w:r w:rsidR="008B1064" w:rsidRPr="00E86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8961A6">
        <w:rPr>
          <w:rFonts w:ascii="Times New Roman" w:hAnsi="Times New Roman" w:cs="Times New Roman"/>
          <w:sz w:val="28"/>
          <w:szCs w:val="28"/>
        </w:rPr>
        <w:t>«Проверка отдельных вопросов финансово-хозяйственной деятельности и соблюдения бюджетного законодательства в Муниципальном общеобразовательном учреждении «Хилинская средняя общеобразовательная школа».</w:t>
      </w:r>
    </w:p>
    <w:p w:rsidR="008961A6" w:rsidRPr="00667906" w:rsidRDefault="007B0ED4" w:rsidP="008961A6">
      <w:pPr>
        <w:tabs>
          <w:tab w:val="left" w:pos="6379"/>
        </w:tabs>
        <w:suppressAutoHyphens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8B1064"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Проверяемый период: </w:t>
      </w:r>
      <w:r w:rsidRPr="007B0ED4">
        <w:rPr>
          <w:rFonts w:ascii="Times New Roman" w:hAnsi="Times New Roman" w:cs="Times New Roman"/>
          <w:sz w:val="28"/>
          <w:szCs w:val="28"/>
        </w:rPr>
        <w:t>2021</w:t>
      </w:r>
      <w:r w:rsidR="008961A6" w:rsidRPr="008961A6">
        <w:rPr>
          <w:rFonts w:ascii="Times New Roman" w:hAnsi="Times New Roman" w:cs="Times New Roman"/>
          <w:bCs/>
          <w:sz w:val="28"/>
          <w:szCs w:val="28"/>
        </w:rPr>
        <w:t>, 2022 и 2023 годы</w:t>
      </w:r>
      <w:r w:rsidR="008961A6" w:rsidRPr="008961A6">
        <w:rPr>
          <w:rFonts w:ascii="Times New Roman" w:hAnsi="Times New Roman" w:cs="Times New Roman"/>
          <w:sz w:val="28"/>
          <w:szCs w:val="28"/>
        </w:rPr>
        <w:t>.</w:t>
      </w:r>
    </w:p>
    <w:p w:rsidR="00286529" w:rsidRPr="00667906" w:rsidRDefault="008B1064" w:rsidP="00286529">
      <w:pPr>
        <w:spacing w:line="240" w:lineRule="auto"/>
        <w:ind w:right="-1" w:firstLine="426"/>
        <w:jc w:val="both"/>
        <w:rPr>
          <w:spacing w:val="1"/>
          <w:sz w:val="26"/>
          <w:szCs w:val="26"/>
        </w:rPr>
      </w:pPr>
      <w:proofErr w:type="gramStart"/>
      <w:r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для проведения контрольного мероприятия</w:t>
      </w:r>
      <w:r w:rsidRPr="00E86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B0ED4" w:rsidRPr="007B0ED4">
        <w:rPr>
          <w:sz w:val="28"/>
          <w:szCs w:val="28"/>
        </w:rPr>
        <w:t xml:space="preserve"> </w:t>
      </w:r>
      <w:r w:rsidR="00CD6BD5" w:rsidRPr="00CD6BD5">
        <w:rPr>
          <w:rFonts w:ascii="Times New Roman" w:hAnsi="Times New Roman" w:cs="Times New Roman"/>
          <w:sz w:val="28"/>
          <w:szCs w:val="28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7B0ED4" w:rsidRPr="007B0ED4">
        <w:rPr>
          <w:rFonts w:ascii="Times New Roman" w:hAnsi="Times New Roman" w:cs="Times New Roman"/>
          <w:sz w:val="28"/>
          <w:szCs w:val="28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 «О Контрольно-счетной палате муниципального района «Могойтуйский район»</w:t>
      </w:r>
      <w:r w:rsidRPr="007B0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86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7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BA7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Контрольно-счётной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палаты муниципального района «</w:t>
      </w:r>
      <w:r w:rsidR="007B0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Могойтуйский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на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7B0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286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86529" w:rsidRPr="00286529">
        <w:rPr>
          <w:spacing w:val="1"/>
          <w:sz w:val="26"/>
          <w:szCs w:val="26"/>
        </w:rPr>
        <w:t xml:space="preserve"> </w:t>
      </w:r>
      <w:r w:rsidR="00286529" w:rsidRPr="00286529">
        <w:rPr>
          <w:rFonts w:ascii="Times New Roman" w:hAnsi="Times New Roman" w:cs="Times New Roman"/>
          <w:spacing w:val="1"/>
          <w:sz w:val="28"/>
          <w:szCs w:val="28"/>
        </w:rPr>
        <w:t>распоряжение председателя КСП № 5-од от 17 мая 2024 года.</w:t>
      </w:r>
    </w:p>
    <w:p w:rsidR="00286529" w:rsidRPr="00286529" w:rsidRDefault="008B1064" w:rsidP="0028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2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D6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проверенных органов или организаций</w:t>
      </w:r>
      <w:r w:rsidRPr="00286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8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529" w:rsidRPr="00286529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«Хилинская средняя общеобразовательная школа».</w:t>
      </w:r>
    </w:p>
    <w:p w:rsidR="00286529" w:rsidRDefault="007B0ED4" w:rsidP="00286529">
      <w:pPr>
        <w:tabs>
          <w:tab w:val="left" w:pos="99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8B1064" w:rsidRPr="00D2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Должностные лица Контрольно-счетной </w:t>
      </w:r>
      <w:r w:rsidR="008B1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палаты</w:t>
      </w:r>
      <w:r w:rsidR="008B1064" w:rsidRPr="00D2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Могойтуйски</w:t>
      </w:r>
      <w:r w:rsidR="008B1064" w:rsidRPr="00D2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район», принимавшие участие в проведении контрольного мероприятия:</w:t>
      </w:r>
      <w:r w:rsidR="008B1064" w:rsidRPr="00D24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ED4">
        <w:rPr>
          <w:rFonts w:ascii="Times New Roman" w:hAnsi="Times New Roman" w:cs="Times New Roman"/>
          <w:bCs/>
          <w:sz w:val="28"/>
          <w:szCs w:val="28"/>
        </w:rPr>
        <w:t>председатель Багдаева Д.Б.</w:t>
      </w:r>
      <w:r w:rsidRPr="007B0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86529" w:rsidRDefault="00286529" w:rsidP="00286529">
      <w:pPr>
        <w:tabs>
          <w:tab w:val="left" w:pos="99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1064" w:rsidRDefault="00286529" w:rsidP="00286529">
      <w:pPr>
        <w:tabs>
          <w:tab w:val="left" w:pos="99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B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актов, составленных</w:t>
      </w:r>
      <w:r w:rsidR="008B1064" w:rsidRPr="00E86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результатам контрольного мероприятия: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№ 4-2024 от 19</w:t>
      </w:r>
      <w:r w:rsidR="00CD6BD5" w:rsidRPr="00CD6BD5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.06.2024 года.</w:t>
      </w:r>
    </w:p>
    <w:p w:rsidR="00286529" w:rsidRPr="00286529" w:rsidRDefault="00286529" w:rsidP="00286529">
      <w:pPr>
        <w:tabs>
          <w:tab w:val="left" w:pos="637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67906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Pr="00667906">
        <w:rPr>
          <w:sz w:val="26"/>
          <w:szCs w:val="26"/>
        </w:rPr>
        <w:t xml:space="preserve"> </w:t>
      </w:r>
      <w:r w:rsidRPr="00286529">
        <w:rPr>
          <w:rFonts w:ascii="Times New Roman" w:hAnsi="Times New Roman" w:cs="Times New Roman"/>
          <w:b/>
          <w:bCs/>
          <w:sz w:val="28"/>
          <w:szCs w:val="28"/>
        </w:rPr>
        <w:t xml:space="preserve">Срок проведения основного этапа контрольного мероприятия:  </w:t>
      </w:r>
      <w:r w:rsidRPr="00286529">
        <w:rPr>
          <w:rFonts w:ascii="Times New Roman" w:hAnsi="Times New Roman" w:cs="Times New Roman"/>
          <w:bCs/>
          <w:sz w:val="28"/>
          <w:szCs w:val="28"/>
        </w:rPr>
        <w:t>23</w:t>
      </w:r>
      <w:r w:rsidRPr="00286529">
        <w:rPr>
          <w:rFonts w:ascii="Times New Roman" w:hAnsi="Times New Roman" w:cs="Times New Roman"/>
          <w:sz w:val="28"/>
          <w:szCs w:val="28"/>
        </w:rPr>
        <w:t>.05.2024 года по 14.06.2024 года.</w:t>
      </w:r>
    </w:p>
    <w:p w:rsidR="008B1064" w:rsidRDefault="008B1064" w:rsidP="008B1064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85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 ходе контрольного мероприятия установлено следующее:</w:t>
      </w:r>
    </w:p>
    <w:p w:rsidR="00934700" w:rsidRPr="00934700" w:rsidRDefault="00934700" w:rsidP="00934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00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финансово-хозяйственной деятельности </w:t>
      </w:r>
    </w:p>
    <w:p w:rsidR="00934700" w:rsidRPr="00934700" w:rsidRDefault="00934700" w:rsidP="00934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00">
        <w:rPr>
          <w:rFonts w:ascii="Times New Roman" w:hAnsi="Times New Roman" w:cs="Times New Roman"/>
          <w:b/>
          <w:sz w:val="28"/>
          <w:szCs w:val="28"/>
        </w:rPr>
        <w:t>МОУ «Хилинская СОШ»</w:t>
      </w:r>
    </w:p>
    <w:p w:rsidR="00934700" w:rsidRDefault="00934700" w:rsidP="00934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00">
        <w:rPr>
          <w:rFonts w:ascii="Times New Roman" w:hAnsi="Times New Roman" w:cs="Times New Roman"/>
          <w:b/>
          <w:sz w:val="28"/>
          <w:szCs w:val="28"/>
        </w:rPr>
        <w:t>в 2021,2022 и 2023 годах</w:t>
      </w:r>
    </w:p>
    <w:p w:rsidR="00731C6D" w:rsidRPr="00934700" w:rsidRDefault="00731C6D" w:rsidP="009347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835"/>
        <w:gridCol w:w="1962"/>
        <w:gridCol w:w="3386"/>
        <w:gridCol w:w="1686"/>
        <w:gridCol w:w="1702"/>
      </w:tblGrid>
      <w:tr w:rsidR="00934700" w:rsidRPr="00934700" w:rsidTr="00731C6D">
        <w:tc>
          <w:tcPr>
            <w:tcW w:w="835" w:type="dxa"/>
            <w:vMerge w:val="restart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7034" w:type="dxa"/>
            <w:gridSpan w:val="3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Доходы (код вида финансового обеспечения)</w:t>
            </w:r>
          </w:p>
        </w:tc>
        <w:tc>
          <w:tcPr>
            <w:tcW w:w="1702" w:type="dxa"/>
            <w:vMerge w:val="restart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Кассовые</w:t>
            </w:r>
          </w:p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расходы</w:t>
            </w:r>
          </w:p>
        </w:tc>
      </w:tr>
      <w:tr w:rsidR="00934700" w:rsidRPr="00934700" w:rsidTr="00731C6D">
        <w:tc>
          <w:tcPr>
            <w:tcW w:w="835" w:type="dxa"/>
            <w:vMerge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sz w:val="28"/>
                <w:szCs w:val="28"/>
              </w:rPr>
              <w:t>собственные доходы учреждения (2)</w:t>
            </w:r>
          </w:p>
        </w:tc>
        <w:tc>
          <w:tcPr>
            <w:tcW w:w="3386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sz w:val="28"/>
                <w:szCs w:val="28"/>
              </w:rPr>
              <w:t>субсидия на выполнение государственного (муниципального) задания (4)</w:t>
            </w:r>
          </w:p>
        </w:tc>
        <w:tc>
          <w:tcPr>
            <w:tcW w:w="1686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(5)</w:t>
            </w:r>
          </w:p>
        </w:tc>
        <w:tc>
          <w:tcPr>
            <w:tcW w:w="1702" w:type="dxa"/>
            <w:vMerge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4700" w:rsidRPr="00934700" w:rsidTr="00731C6D">
        <w:tc>
          <w:tcPr>
            <w:tcW w:w="835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962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224 200</w:t>
            </w:r>
          </w:p>
        </w:tc>
        <w:tc>
          <w:tcPr>
            <w:tcW w:w="3386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24515854,47</w:t>
            </w:r>
          </w:p>
        </w:tc>
        <w:tc>
          <w:tcPr>
            <w:tcW w:w="1686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3296997,95</w:t>
            </w:r>
          </w:p>
        </w:tc>
        <w:tc>
          <w:tcPr>
            <w:tcW w:w="1702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28037052,42</w:t>
            </w:r>
          </w:p>
        </w:tc>
      </w:tr>
      <w:tr w:rsidR="00934700" w:rsidRPr="00934700" w:rsidTr="00731C6D">
        <w:tc>
          <w:tcPr>
            <w:tcW w:w="835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1962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141170,08</w:t>
            </w:r>
          </w:p>
        </w:tc>
        <w:tc>
          <w:tcPr>
            <w:tcW w:w="3386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24825501,57</w:t>
            </w:r>
          </w:p>
        </w:tc>
        <w:tc>
          <w:tcPr>
            <w:tcW w:w="1686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2942111,74</w:t>
            </w:r>
          </w:p>
        </w:tc>
        <w:tc>
          <w:tcPr>
            <w:tcW w:w="1702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27908783,39</w:t>
            </w:r>
          </w:p>
        </w:tc>
      </w:tr>
      <w:tr w:rsidR="00934700" w:rsidRPr="00934700" w:rsidTr="00731C6D">
        <w:tc>
          <w:tcPr>
            <w:tcW w:w="835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1962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382633,27</w:t>
            </w:r>
          </w:p>
        </w:tc>
        <w:tc>
          <w:tcPr>
            <w:tcW w:w="3386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30775674,27</w:t>
            </w:r>
          </w:p>
        </w:tc>
        <w:tc>
          <w:tcPr>
            <w:tcW w:w="1686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41855926,28</w:t>
            </w:r>
          </w:p>
        </w:tc>
        <w:tc>
          <w:tcPr>
            <w:tcW w:w="1702" w:type="dxa"/>
          </w:tcPr>
          <w:p w:rsidR="00934700" w:rsidRPr="00934700" w:rsidRDefault="00934700" w:rsidP="00934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700">
              <w:rPr>
                <w:rFonts w:ascii="Times New Roman" w:hAnsi="Times New Roman" w:cs="Times New Roman"/>
                <w:bCs/>
                <w:sz w:val="28"/>
                <w:szCs w:val="28"/>
              </w:rPr>
              <w:t>73014233,82</w:t>
            </w:r>
          </w:p>
        </w:tc>
      </w:tr>
    </w:tbl>
    <w:p w:rsidR="00934700" w:rsidRPr="00934700" w:rsidRDefault="00934700" w:rsidP="009347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34700" w:rsidRPr="00934700" w:rsidRDefault="00934700" w:rsidP="0093470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34700">
        <w:rPr>
          <w:rFonts w:ascii="Times New Roman" w:hAnsi="Times New Roman" w:cs="Times New Roman"/>
          <w:bCs/>
          <w:sz w:val="28"/>
          <w:szCs w:val="28"/>
        </w:rPr>
        <w:t>Расходы направлены на выплату заработной платы, платежи в бюджет, отчисления в фонды, оплату услуг связи, энергоснабжение, топливо, приобретение лекарственных препаратов и материалов, применяемых в медицинских целях, продуктов питания, основных средств, ГСМ и материальных запасов.</w:t>
      </w:r>
      <w:proofErr w:type="gramEnd"/>
      <w:r w:rsidRPr="009347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700">
        <w:rPr>
          <w:rFonts w:ascii="Times New Roman" w:hAnsi="Times New Roman" w:cs="Times New Roman"/>
          <w:sz w:val="28"/>
          <w:szCs w:val="28"/>
        </w:rPr>
        <w:t>Фактические расходы отражены в отчете о финансовых результатах деятельности (ф. 0503721), согласно нему на 01.01.2022 г. отражены в сумме 28457,0 тыс</w:t>
      </w:r>
      <w:proofErr w:type="gramStart"/>
      <w:r w:rsidRPr="0093470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34700">
        <w:rPr>
          <w:rFonts w:ascii="Times New Roman" w:hAnsi="Times New Roman" w:cs="Times New Roman"/>
          <w:sz w:val="28"/>
          <w:szCs w:val="28"/>
        </w:rPr>
        <w:t>ублей, на 01.01.2023 г. 247 908,8 тыс.рублей, на 01.01.2024 г. 73014,2 тыс.руб</w:t>
      </w:r>
      <w:r w:rsidRPr="00934700">
        <w:rPr>
          <w:rFonts w:ascii="Times New Roman" w:hAnsi="Times New Roman" w:cs="Times New Roman"/>
          <w:color w:val="000000"/>
          <w:sz w:val="28"/>
          <w:szCs w:val="28"/>
        </w:rPr>
        <w:t>лей.</w:t>
      </w:r>
    </w:p>
    <w:p w:rsidR="00934700" w:rsidRPr="00934700" w:rsidRDefault="00934700" w:rsidP="00934700">
      <w:pPr>
        <w:pStyle w:val="a5"/>
        <w:ind w:left="0" w:right="-1" w:firstLine="36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4700">
        <w:rPr>
          <w:sz w:val="28"/>
          <w:szCs w:val="28"/>
        </w:rPr>
        <w:t xml:space="preserve">В Учреждении имеет место неэффективное использование бюджетных средств в 2021 году, </w:t>
      </w:r>
      <w:r w:rsidRPr="00934700">
        <w:rPr>
          <w:bCs/>
          <w:sz w:val="28"/>
          <w:szCs w:val="28"/>
        </w:rPr>
        <w:t>направленных ему Управлением образования и молодежной политики платежным поручением № 366070 21.04.2021 в виде субсидии</w:t>
      </w:r>
      <w:r w:rsidRPr="00934700">
        <w:rPr>
          <w:sz w:val="28"/>
          <w:szCs w:val="28"/>
        </w:rPr>
        <w:t xml:space="preserve"> на выполнение муниципального задания для оплаты пени по налогам и страховым взносам в сумме 60000 рублей, что является нарушением ст.34 БК РФ.</w:t>
      </w:r>
    </w:p>
    <w:p w:rsidR="00CC578F" w:rsidRDefault="007B745A" w:rsidP="00CC578F">
      <w:pPr>
        <w:spacing w:after="0" w:line="240" w:lineRule="auto"/>
        <w:ind w:firstLine="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5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745A">
        <w:rPr>
          <w:rFonts w:ascii="Times New Roman" w:hAnsi="Times New Roman" w:cs="Times New Roman"/>
          <w:sz w:val="28"/>
          <w:szCs w:val="28"/>
        </w:rPr>
        <w:t xml:space="preserve">Данные по использованию Учреждением целевых бюджетных средств, направленных  на  учебные расходы для Учреждения за  2021, 2022 и 2023 годы </w:t>
      </w:r>
      <w:r w:rsidR="00CC578F">
        <w:rPr>
          <w:rFonts w:ascii="Times New Roman" w:hAnsi="Times New Roman" w:cs="Times New Roman"/>
          <w:sz w:val="28"/>
          <w:szCs w:val="28"/>
        </w:rPr>
        <w:t>свидетельствуют о том, что н</w:t>
      </w:r>
      <w:r w:rsidR="00934700" w:rsidRPr="007B745A">
        <w:rPr>
          <w:rFonts w:ascii="Times New Roman" w:hAnsi="Times New Roman" w:cs="Times New Roman"/>
          <w:sz w:val="28"/>
          <w:szCs w:val="28"/>
        </w:rPr>
        <w:t>ецелевого использования средств субвенции не</w:t>
      </w:r>
      <w:r w:rsidR="00CC578F">
        <w:rPr>
          <w:rFonts w:ascii="Times New Roman" w:hAnsi="Times New Roman" w:cs="Times New Roman"/>
          <w:sz w:val="28"/>
          <w:szCs w:val="28"/>
        </w:rPr>
        <w:t>т</w:t>
      </w:r>
      <w:r w:rsidR="00934700" w:rsidRPr="007B745A">
        <w:rPr>
          <w:rFonts w:ascii="Times New Roman" w:hAnsi="Times New Roman" w:cs="Times New Roman"/>
          <w:sz w:val="28"/>
          <w:szCs w:val="28"/>
        </w:rPr>
        <w:t>.</w:t>
      </w:r>
    </w:p>
    <w:p w:rsidR="00CC578F" w:rsidRPr="00CC578F" w:rsidRDefault="00CC578F" w:rsidP="00CC578F">
      <w:pPr>
        <w:pStyle w:val="a5"/>
        <w:ind w:left="0" w:right="-1" w:firstLine="426"/>
        <w:rPr>
          <w:sz w:val="28"/>
          <w:szCs w:val="28"/>
        </w:rPr>
      </w:pPr>
      <w:r w:rsidRPr="00CC578F">
        <w:rPr>
          <w:sz w:val="28"/>
          <w:szCs w:val="28"/>
        </w:rPr>
        <w:t xml:space="preserve">     Также рекомендуется уточнить и внести изменения по пунктам Учетной политики </w:t>
      </w:r>
      <w:r>
        <w:rPr>
          <w:sz w:val="28"/>
          <w:szCs w:val="28"/>
        </w:rPr>
        <w:t>в связи с тем, что в тексте документа присутствуют ссылки на недействующие нормативные акты бюджетного законодательства.</w:t>
      </w:r>
    </w:p>
    <w:p w:rsidR="003F7E41" w:rsidRPr="003F7E41" w:rsidRDefault="003F7E41" w:rsidP="003F7E41">
      <w:pPr>
        <w:pStyle w:val="a5"/>
        <w:ind w:left="0" w:right="-1" w:firstLine="426"/>
        <w:rPr>
          <w:sz w:val="28"/>
          <w:szCs w:val="28"/>
        </w:rPr>
      </w:pPr>
      <w:r w:rsidRPr="003F7E41">
        <w:rPr>
          <w:sz w:val="28"/>
          <w:szCs w:val="28"/>
        </w:rPr>
        <w:t xml:space="preserve">     В отчете формы 0503760</w:t>
      </w:r>
      <w:r w:rsidRPr="003F7E41">
        <w:rPr>
          <w:sz w:val="28"/>
          <w:szCs w:val="28"/>
          <w:lang w:val="en-US"/>
        </w:rPr>
        <w:t>G</w:t>
      </w:r>
      <w:r w:rsidRPr="003F7E41">
        <w:rPr>
          <w:sz w:val="28"/>
          <w:szCs w:val="28"/>
        </w:rPr>
        <w:t>_</w:t>
      </w:r>
      <w:r w:rsidRPr="003F7E41">
        <w:rPr>
          <w:sz w:val="28"/>
          <w:szCs w:val="28"/>
          <w:lang w:val="en-US"/>
        </w:rPr>
        <w:t>t</w:t>
      </w:r>
      <w:r w:rsidRPr="003F7E41">
        <w:rPr>
          <w:sz w:val="28"/>
          <w:szCs w:val="28"/>
        </w:rPr>
        <w:t>6 за 2023 год дата фактического проведения плановой инвентаризации 15.12.2023, данная дата не соответствует дате приказа о проведении инвентаризации 28.12.2023, что указывает на формальный подход к заполнению отчетной формы.</w:t>
      </w:r>
    </w:p>
    <w:p w:rsidR="00934700" w:rsidRPr="00934700" w:rsidRDefault="00CC578F" w:rsidP="00CC578F">
      <w:pPr>
        <w:spacing w:after="0" w:line="240" w:lineRule="auto"/>
        <w:ind w:firstLine="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4700" w:rsidRPr="00934700">
        <w:rPr>
          <w:rFonts w:ascii="Times New Roman" w:hAnsi="Times New Roman" w:cs="Times New Roman"/>
          <w:sz w:val="28"/>
          <w:szCs w:val="28"/>
        </w:rPr>
        <w:t xml:space="preserve">При выборочной проверке </w:t>
      </w:r>
      <w:proofErr w:type="gramStart"/>
      <w:r w:rsidR="00934700" w:rsidRPr="00934700">
        <w:rPr>
          <w:rFonts w:ascii="Times New Roman" w:hAnsi="Times New Roman" w:cs="Times New Roman"/>
          <w:sz w:val="28"/>
          <w:szCs w:val="28"/>
        </w:rPr>
        <w:t>заполнения табелей учета рабочего времени нарушения  Приказа Минфина России</w:t>
      </w:r>
      <w:proofErr w:type="gramEnd"/>
      <w:r w:rsidR="00934700" w:rsidRPr="00934700">
        <w:rPr>
          <w:rFonts w:ascii="Times New Roman" w:hAnsi="Times New Roman" w:cs="Times New Roman"/>
          <w:sz w:val="28"/>
          <w:szCs w:val="28"/>
        </w:rPr>
        <w:t xml:space="preserve"> от 30.03.2015 № 52н, Учетной политики в части неверного применения условных обозначений при заполнении табеля не установлены, кроме табелей руководителя Учреждения в августе 2021-2022 годов. </w:t>
      </w:r>
    </w:p>
    <w:p w:rsidR="00286529" w:rsidRPr="00360AF0" w:rsidRDefault="00286529" w:rsidP="00360AF0">
      <w:pPr>
        <w:pStyle w:val="a5"/>
        <w:ind w:left="0" w:right="-1" w:firstLine="360"/>
        <w:rPr>
          <w:color w:val="000000"/>
          <w:sz w:val="28"/>
          <w:szCs w:val="28"/>
        </w:rPr>
      </w:pPr>
      <w:r w:rsidRPr="00360AF0">
        <w:rPr>
          <w:sz w:val="28"/>
          <w:szCs w:val="28"/>
        </w:rPr>
        <w:t xml:space="preserve">      Проведенным выборочным анализом обоснованности начисления и выплаты заработной платы у</w:t>
      </w:r>
      <w:r w:rsidRPr="00360AF0">
        <w:rPr>
          <w:color w:val="000000"/>
          <w:sz w:val="28"/>
          <w:szCs w:val="28"/>
        </w:rPr>
        <w:t>становлены следующие нарушения и недостатки:</w:t>
      </w:r>
    </w:p>
    <w:p w:rsidR="00286529" w:rsidRPr="00360AF0" w:rsidRDefault="00286529" w:rsidP="00360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AF0">
        <w:rPr>
          <w:rFonts w:ascii="Times New Roman" w:hAnsi="Times New Roman" w:cs="Times New Roman"/>
          <w:sz w:val="28"/>
          <w:szCs w:val="28"/>
        </w:rPr>
        <w:t>1) В нарушение ст.9 Федерального закона от 06.12.2011 года № 402-ФЗ «О бухгалтерском учете» в табеле за август 2021 года и за август 2022 года директора Учреждения неверно заполнены условные обозначения с 23.08.2021 по 30.08.2021 года и с 22.08.2022 по 31.08.2022 года включительно проставлены буквы «О» вместо цифр «8». Буква «О» в табеле означает нахождение работника в отпуске при фактическом отработанном времени в связи с отзывом работника из ежегодного отпуска в связи с производственной необходимостью с 23.08.2021 года и с 22.08.2022 года на основании распоряжений Управления образования и молодежной политики от 23.08.2021 № 101-к и от 18.08.2022 № 103-к соответственно. Ежегодный отпуск директору Учреждения был ранее предоставлен с 28 июня по 30 августа 2021 года распоряжениями вышестоящего органа. Заработная плата начислена за август с 23.08.2021 по 31.08.2021 г. и с 22.08.2022 по 31.08.2022 г. (не учтена в 2-НДФЛ).</w:t>
      </w:r>
    </w:p>
    <w:p w:rsidR="00286529" w:rsidRPr="00360AF0" w:rsidRDefault="00286529" w:rsidP="00360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AF0">
        <w:rPr>
          <w:rFonts w:ascii="Times New Roman" w:hAnsi="Times New Roman" w:cs="Times New Roman"/>
          <w:sz w:val="28"/>
          <w:szCs w:val="28"/>
        </w:rPr>
        <w:t xml:space="preserve">2) В нарушение п.2 ст. 9 Федерального закона от 06.12.2011 года 402-ФЗ «О бухгалтерском учете» отсутствует подпись бухгалтера в расчетно-платежных ведомостях на выплату заработной платы с января по сентябрь 2021 года. </w:t>
      </w:r>
    </w:p>
    <w:p w:rsidR="00286529" w:rsidRPr="00360AF0" w:rsidRDefault="00286529" w:rsidP="00360AF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AF0">
        <w:rPr>
          <w:rFonts w:ascii="Times New Roman" w:hAnsi="Times New Roman" w:cs="Times New Roman"/>
          <w:sz w:val="28"/>
          <w:szCs w:val="28"/>
        </w:rPr>
        <w:t>3) В нарушение ст.9 Федерального закона от 06.12.2011 года № 402-ФЗ «О бухгалтерском учете» недовыплачено директору Учреждения заработной платы в сумме 1 287 руб.85 коп. За 2021 год следовало выплатить 506 673 руб.10 коп</w:t>
      </w:r>
      <w:proofErr w:type="gramStart"/>
      <w:r w:rsidRPr="00360AF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60AF0">
        <w:rPr>
          <w:rFonts w:ascii="Times New Roman" w:hAnsi="Times New Roman" w:cs="Times New Roman"/>
          <w:sz w:val="28"/>
          <w:szCs w:val="28"/>
        </w:rPr>
        <w:t>фактически выплачено 505 211 руб.49 коп., за 2022 год следовало выплатить 532 365 руб. 73 коп., выплачено 532 539 руб.49 коп.</w:t>
      </w:r>
    </w:p>
    <w:p w:rsidR="00286529" w:rsidRDefault="00360AF0" w:rsidP="0028652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AF0">
        <w:rPr>
          <w:rFonts w:ascii="Times New Roman" w:hAnsi="Times New Roman" w:cs="Times New Roman"/>
          <w:sz w:val="28"/>
          <w:szCs w:val="28"/>
        </w:rPr>
        <w:t xml:space="preserve">4) В нарушение </w:t>
      </w:r>
      <w:r w:rsidR="00CC578F">
        <w:rPr>
          <w:rFonts w:ascii="Times New Roman" w:hAnsi="Times New Roman" w:cs="Times New Roman"/>
          <w:sz w:val="28"/>
          <w:szCs w:val="28"/>
        </w:rPr>
        <w:t>ст.218 Налогового кодекса РФ</w:t>
      </w:r>
      <w:r w:rsidRPr="00360AF0">
        <w:rPr>
          <w:rFonts w:ascii="Times New Roman" w:hAnsi="Times New Roman" w:cs="Times New Roman"/>
          <w:sz w:val="28"/>
          <w:szCs w:val="28"/>
        </w:rPr>
        <w:t xml:space="preserve"> </w:t>
      </w:r>
      <w:r w:rsidR="00CC578F">
        <w:rPr>
          <w:rFonts w:ascii="Times New Roman" w:hAnsi="Times New Roman" w:cs="Times New Roman"/>
          <w:sz w:val="28"/>
          <w:szCs w:val="28"/>
        </w:rPr>
        <w:t>выявлена</w:t>
      </w:r>
      <w:r w:rsidRPr="00360AF0">
        <w:rPr>
          <w:rFonts w:ascii="Times New Roman" w:hAnsi="Times New Roman" w:cs="Times New Roman"/>
          <w:sz w:val="28"/>
          <w:szCs w:val="28"/>
        </w:rPr>
        <w:t xml:space="preserve"> </w:t>
      </w:r>
      <w:r w:rsidR="00CC578F">
        <w:rPr>
          <w:rFonts w:ascii="Times New Roman" w:hAnsi="Times New Roman" w:cs="Times New Roman"/>
          <w:sz w:val="28"/>
          <w:szCs w:val="28"/>
        </w:rPr>
        <w:t>р</w:t>
      </w:r>
      <w:r w:rsidRPr="00360AF0">
        <w:rPr>
          <w:rFonts w:ascii="Times New Roman" w:hAnsi="Times New Roman" w:cs="Times New Roman"/>
          <w:sz w:val="28"/>
          <w:szCs w:val="28"/>
        </w:rPr>
        <w:t xml:space="preserve">азница в размере между фактически предоставленным вычетом и вычетом, исчисленным в соответствии со ст.218 НК РФ </w:t>
      </w:r>
      <w:r w:rsidR="00CC578F">
        <w:rPr>
          <w:rFonts w:ascii="Times New Roman" w:hAnsi="Times New Roman" w:cs="Times New Roman"/>
          <w:sz w:val="28"/>
          <w:szCs w:val="28"/>
        </w:rPr>
        <w:t>в сумме</w:t>
      </w:r>
      <w:r w:rsidRPr="00360AF0">
        <w:rPr>
          <w:rFonts w:ascii="Times New Roman" w:hAnsi="Times New Roman" w:cs="Times New Roman"/>
          <w:sz w:val="28"/>
          <w:szCs w:val="28"/>
        </w:rPr>
        <w:t xml:space="preserve"> 9000 руб</w:t>
      </w:r>
      <w:r w:rsidRPr="00360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60AF0">
        <w:rPr>
          <w:rFonts w:ascii="Times New Roman" w:hAnsi="Times New Roman" w:cs="Times New Roman"/>
          <w:sz w:val="28"/>
          <w:szCs w:val="28"/>
        </w:rPr>
        <w:t xml:space="preserve"> Потери бюджета в 2021 году в связи с неверным исчислением и уплатой НДФЛ составили 1170 руб.</w:t>
      </w:r>
    </w:p>
    <w:p w:rsidR="00360AF0" w:rsidRPr="00360AF0" w:rsidRDefault="00360AF0" w:rsidP="0028652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391" w:rsidRDefault="008B2391" w:rsidP="008B239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2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по итогам контрольного мероприятия:</w:t>
      </w:r>
    </w:p>
    <w:p w:rsidR="00286529" w:rsidRDefault="00286529" w:rsidP="008B239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6529" w:rsidRPr="00286529" w:rsidRDefault="00286529" w:rsidP="00286529">
      <w:pPr>
        <w:pStyle w:val="a5"/>
        <w:numPr>
          <w:ilvl w:val="0"/>
          <w:numId w:val="1"/>
        </w:numPr>
        <w:ind w:left="0" w:firstLine="851"/>
        <w:rPr>
          <w:sz w:val="28"/>
          <w:szCs w:val="28"/>
        </w:rPr>
      </w:pPr>
      <w:r w:rsidRPr="00286529">
        <w:rPr>
          <w:color w:val="000000"/>
          <w:sz w:val="28"/>
          <w:szCs w:val="28"/>
        </w:rPr>
        <w:t xml:space="preserve">Утвержденные плановые назначения по доходам и расходам исполнены по средствам субсидии на иные цели на 100 % и по средствам, от </w:t>
      </w:r>
      <w:r w:rsidRPr="00286529">
        <w:rPr>
          <w:rStyle w:val="cs9d249ccb"/>
          <w:color w:val="000000"/>
          <w:sz w:val="28"/>
          <w:szCs w:val="28"/>
        </w:rPr>
        <w:t>приносящей доход деятельности</w:t>
      </w:r>
      <w:r w:rsidRPr="00286529">
        <w:rPr>
          <w:color w:val="000000"/>
          <w:sz w:val="28"/>
          <w:szCs w:val="28"/>
        </w:rPr>
        <w:t xml:space="preserve"> на 100 %.</w:t>
      </w:r>
      <w:r w:rsidR="00904C8D">
        <w:rPr>
          <w:color w:val="000000"/>
          <w:sz w:val="28"/>
          <w:szCs w:val="28"/>
        </w:rPr>
        <w:t xml:space="preserve"> Нецелевого использования средств субвенции на учебные расходы не установлено.</w:t>
      </w:r>
    </w:p>
    <w:p w:rsidR="00286529" w:rsidRPr="00286529" w:rsidRDefault="00286529" w:rsidP="00286529">
      <w:pPr>
        <w:pStyle w:val="a5"/>
        <w:numPr>
          <w:ilvl w:val="0"/>
          <w:numId w:val="1"/>
        </w:numPr>
        <w:ind w:left="0" w:firstLine="851"/>
        <w:rPr>
          <w:sz w:val="28"/>
          <w:szCs w:val="28"/>
        </w:rPr>
      </w:pPr>
      <w:r w:rsidRPr="00286529">
        <w:rPr>
          <w:sz w:val="28"/>
          <w:szCs w:val="28"/>
        </w:rPr>
        <w:t>В части эффективного и результативного использования бюджетных сре</w:t>
      </w:r>
      <w:proofErr w:type="gramStart"/>
      <w:r w:rsidRPr="00286529">
        <w:rPr>
          <w:sz w:val="28"/>
          <w:szCs w:val="28"/>
        </w:rPr>
        <w:t>дств пр</w:t>
      </w:r>
      <w:proofErr w:type="gramEnd"/>
      <w:r w:rsidRPr="00286529">
        <w:rPr>
          <w:sz w:val="28"/>
          <w:szCs w:val="28"/>
        </w:rPr>
        <w:t xml:space="preserve">и оплате штрафов, пени за нарушение законодательства о налогах и сборах, страховых взносах в 2021 году имеет место нарушение статьи 34 БК РФ. </w:t>
      </w:r>
    </w:p>
    <w:p w:rsidR="00286529" w:rsidRPr="00286529" w:rsidRDefault="00286529" w:rsidP="0028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529">
        <w:rPr>
          <w:rFonts w:ascii="Times New Roman" w:hAnsi="Times New Roman" w:cs="Times New Roman"/>
          <w:sz w:val="28"/>
          <w:szCs w:val="28"/>
        </w:rPr>
        <w:t xml:space="preserve">  3. Неверно заполнены табели учета рабочего времени руководителя Учреждения за август 2021 года и август 2022 года.</w:t>
      </w:r>
      <w:r w:rsidRPr="00286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529">
        <w:rPr>
          <w:rFonts w:ascii="Times New Roman" w:hAnsi="Times New Roman" w:cs="Times New Roman"/>
          <w:sz w:val="28"/>
          <w:szCs w:val="28"/>
        </w:rPr>
        <w:t xml:space="preserve">Отсутствует подпись бухгалтера Учреждения в расчетно-платежных ведомостях на выплату заработной платы с января по сентябрь 2021 года. </w:t>
      </w:r>
    </w:p>
    <w:p w:rsidR="00286529" w:rsidRPr="00286529" w:rsidRDefault="00286529" w:rsidP="00286529">
      <w:pPr>
        <w:pStyle w:val="ab"/>
        <w:spacing w:after="0"/>
        <w:ind w:firstLine="709"/>
        <w:jc w:val="both"/>
        <w:rPr>
          <w:color w:val="000000"/>
          <w:sz w:val="28"/>
          <w:szCs w:val="28"/>
        </w:rPr>
      </w:pPr>
      <w:r w:rsidRPr="00286529">
        <w:rPr>
          <w:sz w:val="28"/>
          <w:szCs w:val="28"/>
        </w:rPr>
        <w:t xml:space="preserve">  4. В тексте Учетной политики Учреждения выявлены недостатки, требующие внесения изменений. </w:t>
      </w:r>
    </w:p>
    <w:p w:rsidR="00286529" w:rsidRPr="00286529" w:rsidRDefault="00286529" w:rsidP="00286529">
      <w:pPr>
        <w:pStyle w:val="a5"/>
        <w:ind w:left="0" w:right="-1" w:firstLine="851"/>
        <w:rPr>
          <w:color w:val="000000"/>
          <w:sz w:val="28"/>
          <w:szCs w:val="28"/>
          <w:highlight w:val="yellow"/>
        </w:rPr>
      </w:pPr>
      <w:r w:rsidRPr="00286529">
        <w:rPr>
          <w:sz w:val="28"/>
          <w:szCs w:val="28"/>
        </w:rPr>
        <w:t>5. Проверкой обоснованности начисления и выплаты заработной платы установлена  недоплата заработной платы директору Учреждения в сумме 1 287 руб.85 коп.</w:t>
      </w:r>
      <w:r w:rsidRPr="00286529">
        <w:rPr>
          <w:sz w:val="28"/>
          <w:szCs w:val="28"/>
          <w:highlight w:val="yellow"/>
        </w:rPr>
        <w:t xml:space="preserve"> </w:t>
      </w:r>
    </w:p>
    <w:p w:rsidR="00286529" w:rsidRPr="00286529" w:rsidRDefault="00286529" w:rsidP="0028652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6529">
        <w:rPr>
          <w:rFonts w:ascii="Times New Roman" w:hAnsi="Times New Roman" w:cs="Times New Roman"/>
          <w:sz w:val="28"/>
          <w:szCs w:val="28"/>
        </w:rPr>
        <w:t xml:space="preserve">6. В справке 2-НДФЛ за 2021 год  директора Учреждения неверно отражена сумма стандартных вычетов на детей, а также исчисленная, удержанная и перечисленная в бюджет сумма НДФЛ. В связи с этим дополнительно выявлено к удержанию из заработной платы и уплате в бюджет данного налога в сумме 1170 руб. </w:t>
      </w:r>
    </w:p>
    <w:p w:rsidR="00286529" w:rsidRPr="00286529" w:rsidRDefault="00286529" w:rsidP="00286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529">
        <w:rPr>
          <w:rFonts w:ascii="Times New Roman" w:hAnsi="Times New Roman" w:cs="Times New Roman"/>
          <w:sz w:val="28"/>
          <w:szCs w:val="28"/>
        </w:rPr>
        <w:t xml:space="preserve">  7. С приказом  «Об учетной политике на 2021 год» № 179-ОД от 30.12.2020 года  бухгалтер </w:t>
      </w:r>
      <w:r w:rsidR="00BF24FC">
        <w:rPr>
          <w:rFonts w:ascii="Times New Roman" w:hAnsi="Times New Roman" w:cs="Times New Roman"/>
          <w:sz w:val="28"/>
          <w:szCs w:val="28"/>
        </w:rPr>
        <w:t>Н:</w:t>
      </w:r>
      <w:r w:rsidRPr="00286529">
        <w:rPr>
          <w:rFonts w:ascii="Times New Roman" w:hAnsi="Times New Roman" w:cs="Times New Roman"/>
          <w:sz w:val="28"/>
          <w:szCs w:val="28"/>
        </w:rPr>
        <w:t xml:space="preserve"> не ознакомлена – отсутствует подпись.</w:t>
      </w:r>
    </w:p>
    <w:p w:rsidR="00286529" w:rsidRPr="008B2391" w:rsidRDefault="00286529" w:rsidP="003F7E41">
      <w:pPr>
        <w:pStyle w:val="a5"/>
        <w:ind w:left="0" w:right="-1" w:firstLine="426"/>
        <w:rPr>
          <w:b/>
          <w:bCs/>
          <w:sz w:val="28"/>
          <w:szCs w:val="28"/>
        </w:rPr>
      </w:pPr>
      <w:r w:rsidRPr="00286529">
        <w:rPr>
          <w:sz w:val="28"/>
          <w:szCs w:val="28"/>
        </w:rPr>
        <w:t xml:space="preserve">       8. В отчете формы 0503760</w:t>
      </w:r>
      <w:r w:rsidRPr="00286529">
        <w:rPr>
          <w:sz w:val="28"/>
          <w:szCs w:val="28"/>
          <w:lang w:val="en-US"/>
        </w:rPr>
        <w:t>G</w:t>
      </w:r>
      <w:r w:rsidRPr="00286529">
        <w:rPr>
          <w:sz w:val="28"/>
          <w:szCs w:val="28"/>
        </w:rPr>
        <w:t>_</w:t>
      </w:r>
      <w:r w:rsidRPr="00286529">
        <w:rPr>
          <w:sz w:val="28"/>
          <w:szCs w:val="28"/>
          <w:lang w:val="en-US"/>
        </w:rPr>
        <w:t>t</w:t>
      </w:r>
      <w:r w:rsidRPr="00286529">
        <w:rPr>
          <w:sz w:val="28"/>
          <w:szCs w:val="28"/>
        </w:rPr>
        <w:t xml:space="preserve">6 </w:t>
      </w:r>
      <w:r w:rsidR="003F7E41">
        <w:rPr>
          <w:sz w:val="28"/>
          <w:szCs w:val="28"/>
        </w:rPr>
        <w:t>дата приказа о проведении инвентаризации должна быть не ранее фактически проведенной инвентаризации активов и обязательств.</w:t>
      </w:r>
    </w:p>
    <w:p w:rsidR="008B2391" w:rsidRDefault="008B2391" w:rsidP="00DA03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1150C" w:rsidRDefault="00D1150C" w:rsidP="00D1150C">
      <w:pPr>
        <w:pStyle w:val="a9"/>
        <w:rPr>
          <w:b/>
        </w:rPr>
      </w:pPr>
      <w:r>
        <w:rPr>
          <w:b/>
        </w:rPr>
        <w:t>Предложения и рекомендации:</w:t>
      </w:r>
    </w:p>
    <w:p w:rsidR="00904C8D" w:rsidRDefault="00904C8D" w:rsidP="00D1150C">
      <w:pPr>
        <w:pStyle w:val="a9"/>
        <w:rPr>
          <w:b/>
        </w:rPr>
      </w:pPr>
    </w:p>
    <w:p w:rsidR="00D1150C" w:rsidRPr="008B2391" w:rsidRDefault="00D1150C" w:rsidP="00D1150C">
      <w:pPr>
        <w:pStyle w:val="a5"/>
        <w:ind w:left="0" w:right="-1" w:firstLine="851"/>
        <w:rPr>
          <w:rStyle w:val="description"/>
          <w:sz w:val="28"/>
          <w:szCs w:val="28"/>
        </w:rPr>
      </w:pPr>
      <w:r w:rsidRPr="008B2391">
        <w:rPr>
          <w:rStyle w:val="description"/>
          <w:sz w:val="28"/>
          <w:szCs w:val="28"/>
        </w:rPr>
        <w:t>-неукоснительно соблюдать действующее законодательство при расходовании средств бюджетов,</w:t>
      </w:r>
    </w:p>
    <w:p w:rsidR="00D1150C" w:rsidRPr="008B2391" w:rsidRDefault="00D1150C" w:rsidP="00D1150C">
      <w:pPr>
        <w:pStyle w:val="a5"/>
        <w:ind w:left="0" w:right="-1" w:firstLine="851"/>
        <w:rPr>
          <w:rStyle w:val="description"/>
          <w:sz w:val="28"/>
          <w:szCs w:val="28"/>
        </w:rPr>
      </w:pPr>
      <w:r w:rsidRPr="008B2391">
        <w:rPr>
          <w:rStyle w:val="description"/>
          <w:sz w:val="28"/>
          <w:szCs w:val="28"/>
        </w:rPr>
        <w:t xml:space="preserve">-не допускать неправомерных и неэффективных расходов средств бюджета и неправомерной выплаты заработной платы и отпускных работникам, </w:t>
      </w:r>
    </w:p>
    <w:p w:rsidR="00D1150C" w:rsidRPr="008B2391" w:rsidRDefault="00D1150C" w:rsidP="00D1150C">
      <w:pPr>
        <w:pStyle w:val="a5"/>
        <w:ind w:left="0" w:right="-1" w:firstLine="851"/>
        <w:rPr>
          <w:rStyle w:val="description"/>
          <w:sz w:val="28"/>
          <w:szCs w:val="28"/>
        </w:rPr>
      </w:pPr>
      <w:r w:rsidRPr="008B2391">
        <w:rPr>
          <w:rStyle w:val="description"/>
          <w:sz w:val="28"/>
          <w:szCs w:val="28"/>
        </w:rPr>
        <w:t>-вести бухгалтерский учет в соответствии с действующим законодательством, инструкциями и отдельными указаниями. Осуществлять контроль за своевременным и правильным оформлением учетных документов,</w:t>
      </w:r>
    </w:p>
    <w:p w:rsidR="00D1150C" w:rsidRPr="008B2391" w:rsidRDefault="00D1150C" w:rsidP="00D1150C">
      <w:pPr>
        <w:pStyle w:val="a5"/>
        <w:ind w:left="0" w:right="-1" w:firstLine="851"/>
        <w:rPr>
          <w:rStyle w:val="description"/>
          <w:sz w:val="28"/>
          <w:szCs w:val="28"/>
        </w:rPr>
      </w:pPr>
      <w:r w:rsidRPr="008B2391">
        <w:rPr>
          <w:rStyle w:val="description"/>
          <w:sz w:val="28"/>
          <w:szCs w:val="28"/>
        </w:rPr>
        <w:t>-на постоянной основе проверять данные табелей учета использования рабочего времени всех структурных подразделений, особое внимание обратить на правильность заполнения в них фактически отработанных дней и сопоставление с утвержденными приказами на отпуск, а также с временной нетрудоспособностью,</w:t>
      </w:r>
    </w:p>
    <w:p w:rsidR="00D1150C" w:rsidRPr="008B2391" w:rsidRDefault="00D1150C" w:rsidP="003F7E41">
      <w:pPr>
        <w:spacing w:line="240" w:lineRule="auto"/>
        <w:jc w:val="both"/>
        <w:rPr>
          <w:rStyle w:val="description"/>
          <w:rFonts w:ascii="Times New Roman" w:hAnsi="Times New Roman" w:cs="Times New Roman"/>
          <w:sz w:val="28"/>
          <w:szCs w:val="28"/>
        </w:rPr>
      </w:pPr>
      <w:r w:rsidRPr="008B2391">
        <w:rPr>
          <w:rStyle w:val="description"/>
          <w:rFonts w:ascii="Times New Roman" w:hAnsi="Times New Roman" w:cs="Times New Roman"/>
          <w:sz w:val="28"/>
          <w:szCs w:val="28"/>
        </w:rPr>
        <w:t xml:space="preserve">            - </w:t>
      </w:r>
      <w:r w:rsidRPr="008B2391">
        <w:rPr>
          <w:rFonts w:ascii="Times New Roman" w:hAnsi="Times New Roman" w:cs="Times New Roman"/>
          <w:spacing w:val="-2"/>
          <w:sz w:val="28"/>
          <w:szCs w:val="28"/>
        </w:rPr>
        <w:t>табель учета рабочего времени заполнять с применением условных обозначений, установленных Приказом Минфина России от 30.03.2015 № 52н, Учетной политикой Учреждения, в табеле указывать срок предоставления его в бухгалтерию и отметка бухгалтерии о принятии табеля.</w:t>
      </w:r>
    </w:p>
    <w:p w:rsidR="008B2391" w:rsidRDefault="00D1150C" w:rsidP="008B2391">
      <w:pPr>
        <w:pStyle w:val="a9"/>
        <w:rPr>
          <w:b/>
        </w:rPr>
      </w:pPr>
      <w:r>
        <w:rPr>
          <w:b/>
        </w:rPr>
        <w:t>Меры реагирования</w:t>
      </w:r>
      <w:r w:rsidR="008B2391">
        <w:rPr>
          <w:b/>
        </w:rPr>
        <w:t xml:space="preserve"> </w:t>
      </w:r>
      <w:r w:rsidR="008B2391" w:rsidRPr="000C482D">
        <w:rPr>
          <w:b/>
        </w:rPr>
        <w:t>по итогам контрольного мероприятия:</w:t>
      </w:r>
    </w:p>
    <w:p w:rsidR="008B2391" w:rsidRPr="00D1150C" w:rsidRDefault="008B2391" w:rsidP="008B239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82D">
        <w:rPr>
          <w:rFonts w:ascii="Times New Roman" w:hAnsi="Times New Roman" w:cs="Times New Roman"/>
          <w:sz w:val="28"/>
          <w:szCs w:val="28"/>
        </w:rPr>
        <w:t xml:space="preserve">1. </w:t>
      </w:r>
      <w:r w:rsidRPr="00D1150C">
        <w:rPr>
          <w:rFonts w:ascii="Times New Roman" w:hAnsi="Times New Roman" w:cs="Times New Roman"/>
          <w:sz w:val="28"/>
          <w:szCs w:val="28"/>
        </w:rPr>
        <w:t>Направить отчет по результатам контрольного мероприятия:</w:t>
      </w: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>- в Совет муниципального района «район» для рассмотрения;</w:t>
      </w: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>- Главе муниципального района «район» для рассмотрения.</w:t>
      </w:r>
    </w:p>
    <w:p w:rsidR="003F7E41" w:rsidRPr="00286529" w:rsidRDefault="008B2391" w:rsidP="003F7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 xml:space="preserve"> </w:t>
      </w:r>
      <w:r w:rsidR="003F7E41">
        <w:rPr>
          <w:rFonts w:ascii="Times New Roman" w:hAnsi="Times New Roman" w:cs="Times New Roman"/>
          <w:sz w:val="28"/>
          <w:szCs w:val="28"/>
        </w:rPr>
        <w:t>2</w:t>
      </w:r>
      <w:r w:rsidRPr="00D1150C">
        <w:rPr>
          <w:rFonts w:ascii="Times New Roman" w:hAnsi="Times New Roman" w:cs="Times New Roman"/>
          <w:sz w:val="28"/>
          <w:szCs w:val="28"/>
        </w:rPr>
        <w:t>. Внести представление Контрольно-счетной палаты муниципального района «</w:t>
      </w:r>
      <w:r w:rsidR="00D1150C" w:rsidRPr="00D1150C">
        <w:rPr>
          <w:rFonts w:ascii="Times New Roman" w:hAnsi="Times New Roman" w:cs="Times New Roman"/>
          <w:sz w:val="28"/>
          <w:szCs w:val="28"/>
        </w:rPr>
        <w:t xml:space="preserve">Могойтуйский </w:t>
      </w:r>
      <w:r w:rsidRPr="00D1150C">
        <w:rPr>
          <w:rFonts w:ascii="Times New Roman" w:hAnsi="Times New Roman" w:cs="Times New Roman"/>
          <w:sz w:val="28"/>
          <w:szCs w:val="28"/>
        </w:rPr>
        <w:t>район» об устранении выявленных нарушений и недостатков</w:t>
      </w:r>
      <w:r w:rsidRPr="00D1150C">
        <w:t xml:space="preserve"> </w:t>
      </w:r>
      <w:r w:rsidRPr="00D1150C">
        <w:rPr>
          <w:rFonts w:ascii="Times New Roman" w:hAnsi="Times New Roman" w:cs="Times New Roman"/>
          <w:sz w:val="28"/>
          <w:szCs w:val="28"/>
        </w:rPr>
        <w:t xml:space="preserve">в </w:t>
      </w:r>
      <w:r w:rsidR="00D1150C" w:rsidRPr="00D1150C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A80E99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3F7E41" w:rsidRPr="00286529">
        <w:rPr>
          <w:rFonts w:ascii="Times New Roman" w:hAnsi="Times New Roman" w:cs="Times New Roman"/>
          <w:sz w:val="28"/>
          <w:szCs w:val="28"/>
        </w:rPr>
        <w:t>Муниципально</w:t>
      </w:r>
      <w:r w:rsidR="003F7E41">
        <w:rPr>
          <w:rFonts w:ascii="Times New Roman" w:hAnsi="Times New Roman" w:cs="Times New Roman"/>
          <w:sz w:val="28"/>
          <w:szCs w:val="28"/>
        </w:rPr>
        <w:t>го</w:t>
      </w:r>
      <w:r w:rsidR="003F7E41" w:rsidRPr="00286529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3F7E41">
        <w:rPr>
          <w:rFonts w:ascii="Times New Roman" w:hAnsi="Times New Roman" w:cs="Times New Roman"/>
          <w:sz w:val="28"/>
          <w:szCs w:val="28"/>
        </w:rPr>
        <w:t>го</w:t>
      </w:r>
      <w:r w:rsidR="003F7E41" w:rsidRPr="0028652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F7E41">
        <w:rPr>
          <w:rFonts w:ascii="Times New Roman" w:hAnsi="Times New Roman" w:cs="Times New Roman"/>
          <w:sz w:val="28"/>
          <w:szCs w:val="28"/>
        </w:rPr>
        <w:t xml:space="preserve">я </w:t>
      </w:r>
      <w:r w:rsidR="003F7E41" w:rsidRPr="00286529">
        <w:rPr>
          <w:rFonts w:ascii="Times New Roman" w:hAnsi="Times New Roman" w:cs="Times New Roman"/>
          <w:sz w:val="28"/>
          <w:szCs w:val="28"/>
        </w:rPr>
        <w:t>«Хилинская средняя общеобразовательная школа».</w:t>
      </w:r>
    </w:p>
    <w:p w:rsidR="008B2391" w:rsidRPr="00D1150C" w:rsidRDefault="003F7E4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3. Акт</w:t>
      </w:r>
      <w:r w:rsidR="008B2391" w:rsidRPr="00D1150C">
        <w:rPr>
          <w:rFonts w:ascii="Times New Roman" w:hAnsi="Times New Roman" w:cs="Times New Roman"/>
          <w:sz w:val="28"/>
          <w:szCs w:val="28"/>
        </w:rPr>
        <w:t xml:space="preserve"> контрольного мероприятия направ</w:t>
      </w:r>
      <w:r w:rsidR="00D1150C" w:rsidRPr="00D1150C">
        <w:rPr>
          <w:rFonts w:ascii="Times New Roman" w:hAnsi="Times New Roman" w:cs="Times New Roman"/>
          <w:sz w:val="28"/>
          <w:szCs w:val="28"/>
        </w:rPr>
        <w:t>ить</w:t>
      </w:r>
      <w:r w:rsidR="008B2391" w:rsidRPr="00D1150C">
        <w:rPr>
          <w:rFonts w:ascii="Times New Roman" w:hAnsi="Times New Roman" w:cs="Times New Roman"/>
          <w:sz w:val="28"/>
          <w:szCs w:val="28"/>
        </w:rPr>
        <w:t xml:space="preserve"> в Прокуратуру Могойтуйского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150C" w:rsidRPr="00D11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391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F7E41" w:rsidRDefault="003F7E4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F7E41" w:rsidRDefault="003F7E4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F7E41" w:rsidRDefault="003F7E4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F7E41" w:rsidRPr="00D1150C" w:rsidRDefault="003F7E4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B2391" w:rsidRDefault="008B2391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 xml:space="preserve">«Могойтуйский район» </w:t>
      </w:r>
      <w:r w:rsidRPr="00D1150C">
        <w:rPr>
          <w:rFonts w:ascii="Times New Roman" w:hAnsi="Times New Roman" w:cs="Times New Roman"/>
          <w:sz w:val="28"/>
          <w:szCs w:val="28"/>
        </w:rPr>
        <w:tab/>
      </w:r>
      <w:r w:rsidRPr="00D1150C">
        <w:rPr>
          <w:rFonts w:ascii="Times New Roman" w:hAnsi="Times New Roman" w:cs="Times New Roman"/>
          <w:sz w:val="28"/>
          <w:szCs w:val="28"/>
        </w:rPr>
        <w:tab/>
      </w:r>
      <w:r w:rsidRPr="00D1150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1150C">
        <w:rPr>
          <w:rFonts w:ascii="Times New Roman" w:hAnsi="Times New Roman" w:cs="Times New Roman"/>
          <w:sz w:val="28"/>
          <w:szCs w:val="28"/>
        </w:rPr>
        <w:tab/>
      </w:r>
      <w:r w:rsidRPr="00D1150C">
        <w:rPr>
          <w:rFonts w:ascii="Times New Roman" w:hAnsi="Times New Roman" w:cs="Times New Roman"/>
          <w:sz w:val="28"/>
          <w:szCs w:val="28"/>
        </w:rPr>
        <w:tab/>
      </w:r>
      <w:r w:rsidR="00D115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1150C">
        <w:rPr>
          <w:rFonts w:ascii="Times New Roman" w:hAnsi="Times New Roman" w:cs="Times New Roman"/>
          <w:sz w:val="28"/>
          <w:szCs w:val="28"/>
        </w:rPr>
        <w:t>Багдаева Д.Б.</w:t>
      </w:r>
    </w:p>
    <w:p w:rsidR="00D1150C" w:rsidRDefault="00D1150C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50C" w:rsidRDefault="00D1150C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50C" w:rsidRDefault="00D1150C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50C" w:rsidRPr="00D1150C" w:rsidRDefault="00D1150C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391" w:rsidRPr="00D1150C" w:rsidRDefault="008B2391" w:rsidP="008B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B2391" w:rsidRDefault="008B2391" w:rsidP="008B2391">
      <w:pPr>
        <w:pStyle w:val="a9"/>
        <w:rPr>
          <w:b/>
        </w:rPr>
      </w:pPr>
    </w:p>
    <w:p w:rsidR="00D1150C" w:rsidRDefault="00D1150C" w:rsidP="008B2391">
      <w:pPr>
        <w:pStyle w:val="a5"/>
        <w:ind w:left="0" w:right="-1" w:firstLine="851"/>
        <w:rPr>
          <w:rStyle w:val="description"/>
          <w:sz w:val="28"/>
          <w:szCs w:val="28"/>
        </w:rPr>
      </w:pPr>
    </w:p>
    <w:p w:rsidR="008B2391" w:rsidRPr="008B2391" w:rsidRDefault="008B2391" w:rsidP="008B2391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49E3" w:rsidRPr="00E8685B" w:rsidRDefault="002349E3" w:rsidP="002349E3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44F2" w:rsidRDefault="009444F2"/>
    <w:sectPr w:rsidR="009444F2" w:rsidSect="009444F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78F" w:rsidRDefault="00CC578F" w:rsidP="00EB1435">
      <w:pPr>
        <w:spacing w:after="0" w:line="240" w:lineRule="auto"/>
      </w:pPr>
      <w:r>
        <w:separator/>
      </w:r>
    </w:p>
  </w:endnote>
  <w:endnote w:type="continuationSeparator" w:id="0">
    <w:p w:rsidR="00CC578F" w:rsidRDefault="00CC578F" w:rsidP="00EB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09976"/>
      <w:docPartObj>
        <w:docPartGallery w:val="Page Numbers (Bottom of Page)"/>
        <w:docPartUnique/>
      </w:docPartObj>
    </w:sdtPr>
    <w:sdtContent>
      <w:p w:rsidR="00731C6D" w:rsidRDefault="00321B82">
        <w:pPr>
          <w:pStyle w:val="af0"/>
          <w:jc w:val="center"/>
        </w:pPr>
        <w:fldSimple w:instr=" PAGE   \* MERGEFORMAT ">
          <w:r w:rsidR="00BF24FC">
            <w:rPr>
              <w:noProof/>
            </w:rPr>
            <w:t>4</w:t>
          </w:r>
        </w:fldSimple>
      </w:p>
    </w:sdtContent>
  </w:sdt>
  <w:p w:rsidR="00731C6D" w:rsidRDefault="00731C6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78F" w:rsidRDefault="00CC578F" w:rsidP="00EB1435">
      <w:pPr>
        <w:spacing w:after="0" w:line="240" w:lineRule="auto"/>
      </w:pPr>
      <w:r>
        <w:separator/>
      </w:r>
    </w:p>
  </w:footnote>
  <w:footnote w:type="continuationSeparator" w:id="0">
    <w:p w:rsidR="00CC578F" w:rsidRDefault="00CC578F" w:rsidP="00EB1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42144"/>
    <w:multiLevelType w:val="hybridMultilevel"/>
    <w:tmpl w:val="90582266"/>
    <w:lvl w:ilvl="0" w:tplc="F40E5B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B1064"/>
    <w:rsid w:val="00032CDA"/>
    <w:rsid w:val="00050407"/>
    <w:rsid w:val="00062408"/>
    <w:rsid w:val="0012247F"/>
    <w:rsid w:val="00180A2A"/>
    <w:rsid w:val="001A1CFD"/>
    <w:rsid w:val="001B3E84"/>
    <w:rsid w:val="001D2F33"/>
    <w:rsid w:val="001F59A4"/>
    <w:rsid w:val="00215131"/>
    <w:rsid w:val="0022291E"/>
    <w:rsid w:val="002349E3"/>
    <w:rsid w:val="00263FC7"/>
    <w:rsid w:val="00276493"/>
    <w:rsid w:val="00286529"/>
    <w:rsid w:val="002B03C6"/>
    <w:rsid w:val="002D6B52"/>
    <w:rsid w:val="002E3443"/>
    <w:rsid w:val="002F487D"/>
    <w:rsid w:val="00300E4A"/>
    <w:rsid w:val="00321B82"/>
    <w:rsid w:val="00360AF0"/>
    <w:rsid w:val="00380BCE"/>
    <w:rsid w:val="003A2476"/>
    <w:rsid w:val="003B4591"/>
    <w:rsid w:val="003F252C"/>
    <w:rsid w:val="003F7E41"/>
    <w:rsid w:val="0041387C"/>
    <w:rsid w:val="004C3761"/>
    <w:rsid w:val="005542E3"/>
    <w:rsid w:val="00626664"/>
    <w:rsid w:val="00650A6C"/>
    <w:rsid w:val="00652987"/>
    <w:rsid w:val="00671384"/>
    <w:rsid w:val="006C14CB"/>
    <w:rsid w:val="006C647F"/>
    <w:rsid w:val="0071033A"/>
    <w:rsid w:val="00731C6D"/>
    <w:rsid w:val="00746FA8"/>
    <w:rsid w:val="007B0ED4"/>
    <w:rsid w:val="007B745A"/>
    <w:rsid w:val="007D6DA5"/>
    <w:rsid w:val="00866CAA"/>
    <w:rsid w:val="0087507D"/>
    <w:rsid w:val="008961A6"/>
    <w:rsid w:val="008A3263"/>
    <w:rsid w:val="008B1064"/>
    <w:rsid w:val="008B2391"/>
    <w:rsid w:val="008E7C77"/>
    <w:rsid w:val="008F4C11"/>
    <w:rsid w:val="00903511"/>
    <w:rsid w:val="00904C8D"/>
    <w:rsid w:val="009065D7"/>
    <w:rsid w:val="00906C22"/>
    <w:rsid w:val="00934700"/>
    <w:rsid w:val="009444F2"/>
    <w:rsid w:val="00A01DA4"/>
    <w:rsid w:val="00A34F9C"/>
    <w:rsid w:val="00A46772"/>
    <w:rsid w:val="00A80E99"/>
    <w:rsid w:val="00AD4FDF"/>
    <w:rsid w:val="00B243F1"/>
    <w:rsid w:val="00B36E32"/>
    <w:rsid w:val="00B55334"/>
    <w:rsid w:val="00B7168D"/>
    <w:rsid w:val="00BA0951"/>
    <w:rsid w:val="00BF24FC"/>
    <w:rsid w:val="00C07AF3"/>
    <w:rsid w:val="00C960B3"/>
    <w:rsid w:val="00CA2A34"/>
    <w:rsid w:val="00CB2B3F"/>
    <w:rsid w:val="00CC578F"/>
    <w:rsid w:val="00CD19B8"/>
    <w:rsid w:val="00CD6BD5"/>
    <w:rsid w:val="00D1130C"/>
    <w:rsid w:val="00D1150C"/>
    <w:rsid w:val="00D35C41"/>
    <w:rsid w:val="00D368AC"/>
    <w:rsid w:val="00D51F8B"/>
    <w:rsid w:val="00D5304A"/>
    <w:rsid w:val="00D67993"/>
    <w:rsid w:val="00D81080"/>
    <w:rsid w:val="00DA037D"/>
    <w:rsid w:val="00DF123C"/>
    <w:rsid w:val="00DF5A1B"/>
    <w:rsid w:val="00E03EE6"/>
    <w:rsid w:val="00E879C9"/>
    <w:rsid w:val="00E929A0"/>
    <w:rsid w:val="00EB1435"/>
    <w:rsid w:val="00EB5EC8"/>
    <w:rsid w:val="00EF44FF"/>
    <w:rsid w:val="00F26AE5"/>
    <w:rsid w:val="00F655DE"/>
    <w:rsid w:val="00F75E69"/>
    <w:rsid w:val="00F912B5"/>
    <w:rsid w:val="00FA29B2"/>
    <w:rsid w:val="00FD5DEC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0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435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B1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B14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B1435"/>
    <w:rPr>
      <w:vertAlign w:val="superscript"/>
    </w:rPr>
  </w:style>
  <w:style w:type="paragraph" w:styleId="a9">
    <w:name w:val="Title"/>
    <w:basedOn w:val="a"/>
    <w:link w:val="aa"/>
    <w:qFormat/>
    <w:rsid w:val="00EB14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rsid w:val="00EB14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scription">
    <w:name w:val="description"/>
    <w:basedOn w:val="a0"/>
    <w:rsid w:val="008B2391"/>
  </w:style>
  <w:style w:type="character" w:customStyle="1" w:styleId="cs9d249ccb">
    <w:name w:val="cs9d249ccb"/>
    <w:basedOn w:val="a0"/>
    <w:rsid w:val="00286529"/>
  </w:style>
  <w:style w:type="paragraph" w:styleId="ab">
    <w:name w:val="Body Text"/>
    <w:basedOn w:val="a"/>
    <w:link w:val="ac"/>
    <w:rsid w:val="002865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28652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9347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73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31C6D"/>
  </w:style>
  <w:style w:type="paragraph" w:styleId="af0">
    <w:name w:val="footer"/>
    <w:basedOn w:val="a"/>
    <w:link w:val="af1"/>
    <w:uiPriority w:val="99"/>
    <w:unhideWhenUsed/>
    <w:rsid w:val="0073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31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4294902523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2024-06-26T05:50:00Z</dcterms:created>
  <dcterms:modified xsi:type="dcterms:W3CDTF">2024-06-26T08:09:00Z</dcterms:modified>
</cp:coreProperties>
</file>