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DE1" w:rsidRPr="00045448" w:rsidRDefault="00382DE1" w:rsidP="004A7D06">
      <w:pPr>
        <w:pStyle w:val="4"/>
        <w:spacing w:before="0" w:line="240" w:lineRule="auto"/>
        <w:jc w:val="center"/>
        <w:rPr>
          <w:rFonts w:ascii="Times New Roman" w:hAnsi="Times New Roman"/>
          <w:b w:val="0"/>
          <w:bCs w:val="0"/>
          <w:i w:val="0"/>
          <w:caps/>
          <w:color w:val="auto"/>
          <w:sz w:val="28"/>
          <w:szCs w:val="28"/>
        </w:rPr>
      </w:pPr>
      <w:r>
        <w:rPr>
          <w:rFonts w:ascii="Times New Roman" w:hAnsi="Times New Roman"/>
          <w:i w:val="0"/>
          <w:caps/>
          <w:color w:val="auto"/>
          <w:sz w:val="28"/>
          <w:szCs w:val="28"/>
        </w:rPr>
        <w:t>Контрольно-счетная палата  муниципального РАЙОНА</w:t>
      </w:r>
      <w:r w:rsidRPr="00045448">
        <w:rPr>
          <w:rFonts w:ascii="Times New Roman" w:hAnsi="Times New Roman"/>
          <w:i w:val="0"/>
          <w:caps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i w:val="0"/>
          <w:caps/>
          <w:color w:val="auto"/>
          <w:sz w:val="28"/>
          <w:szCs w:val="28"/>
        </w:rPr>
        <w:t>«могойтуйский район»</w:t>
      </w:r>
    </w:p>
    <w:p w:rsidR="00382DE1" w:rsidRPr="00045448" w:rsidRDefault="00382DE1" w:rsidP="004A7D06">
      <w:pPr>
        <w:jc w:val="center"/>
        <w:rPr>
          <w:sz w:val="28"/>
          <w:szCs w:val="28"/>
        </w:rPr>
      </w:pPr>
    </w:p>
    <w:p w:rsidR="00382DE1" w:rsidRDefault="00382DE1" w:rsidP="004A7D06">
      <w:pPr>
        <w:jc w:val="center"/>
        <w:rPr>
          <w:b/>
          <w:sz w:val="28"/>
          <w:szCs w:val="28"/>
        </w:rPr>
      </w:pPr>
    </w:p>
    <w:p w:rsidR="00382DE1" w:rsidRDefault="00382DE1" w:rsidP="004A7D06">
      <w:pPr>
        <w:jc w:val="center"/>
        <w:rPr>
          <w:b/>
          <w:sz w:val="28"/>
          <w:szCs w:val="28"/>
        </w:rPr>
      </w:pPr>
    </w:p>
    <w:p w:rsidR="00382DE1" w:rsidRDefault="00382DE1" w:rsidP="004A7D06">
      <w:pPr>
        <w:jc w:val="center"/>
        <w:rPr>
          <w:b/>
          <w:sz w:val="28"/>
          <w:szCs w:val="28"/>
        </w:rPr>
      </w:pPr>
    </w:p>
    <w:p w:rsidR="00382DE1" w:rsidRDefault="00382DE1" w:rsidP="004A7D06">
      <w:pPr>
        <w:jc w:val="center"/>
        <w:rPr>
          <w:b/>
          <w:sz w:val="28"/>
          <w:szCs w:val="28"/>
        </w:rPr>
      </w:pPr>
    </w:p>
    <w:p w:rsidR="00382DE1" w:rsidRDefault="00382DE1" w:rsidP="004A7D06">
      <w:pPr>
        <w:jc w:val="center"/>
        <w:rPr>
          <w:b/>
          <w:sz w:val="28"/>
          <w:szCs w:val="28"/>
        </w:rPr>
      </w:pPr>
    </w:p>
    <w:p w:rsidR="00382DE1" w:rsidRDefault="00382DE1" w:rsidP="004A7D06">
      <w:pPr>
        <w:jc w:val="center"/>
        <w:rPr>
          <w:b/>
          <w:sz w:val="28"/>
          <w:szCs w:val="28"/>
        </w:rPr>
      </w:pPr>
    </w:p>
    <w:p w:rsidR="00382DE1" w:rsidRDefault="00382DE1" w:rsidP="004A7D06">
      <w:pPr>
        <w:jc w:val="center"/>
        <w:rPr>
          <w:b/>
          <w:sz w:val="28"/>
          <w:szCs w:val="28"/>
        </w:rPr>
      </w:pPr>
    </w:p>
    <w:p w:rsidR="00382DE1" w:rsidRDefault="00382DE1" w:rsidP="004A7D06">
      <w:pPr>
        <w:jc w:val="center"/>
        <w:rPr>
          <w:b/>
          <w:sz w:val="28"/>
          <w:szCs w:val="28"/>
        </w:rPr>
      </w:pPr>
    </w:p>
    <w:p w:rsidR="00382DE1" w:rsidRPr="00045448" w:rsidRDefault="00382DE1" w:rsidP="004A7D06">
      <w:pPr>
        <w:jc w:val="center"/>
        <w:rPr>
          <w:b/>
          <w:sz w:val="28"/>
          <w:szCs w:val="28"/>
        </w:rPr>
      </w:pPr>
    </w:p>
    <w:p w:rsidR="00382DE1" w:rsidRPr="00F32BA6" w:rsidRDefault="00382DE1" w:rsidP="004A7D06">
      <w:pPr>
        <w:jc w:val="center"/>
        <w:rPr>
          <w:b/>
          <w:sz w:val="32"/>
          <w:szCs w:val="32"/>
          <w:lang w:eastAsia="ru-RU"/>
        </w:rPr>
      </w:pPr>
      <w:r w:rsidRPr="00F32BA6">
        <w:rPr>
          <w:b/>
          <w:sz w:val="32"/>
          <w:szCs w:val="32"/>
          <w:lang w:eastAsia="ru-RU"/>
        </w:rPr>
        <w:t xml:space="preserve">СТАНДАРТ </w:t>
      </w:r>
      <w:r>
        <w:rPr>
          <w:b/>
          <w:sz w:val="32"/>
          <w:szCs w:val="32"/>
          <w:lang w:eastAsia="ru-RU"/>
        </w:rPr>
        <w:t xml:space="preserve">ВНЕШНЕГО МУНИЦИПАЛЬНОГО </w:t>
      </w:r>
      <w:r w:rsidRPr="00F32BA6">
        <w:rPr>
          <w:b/>
          <w:sz w:val="32"/>
          <w:szCs w:val="32"/>
          <w:lang w:eastAsia="ru-RU"/>
        </w:rPr>
        <w:t>ФИНАНСОВОГО КОНТРОЛЯ</w:t>
      </w:r>
    </w:p>
    <w:p w:rsidR="00382DE1" w:rsidRDefault="00382DE1" w:rsidP="004A7D06">
      <w:pPr>
        <w:jc w:val="center"/>
        <w:rPr>
          <w:sz w:val="28"/>
          <w:szCs w:val="28"/>
          <w:lang w:eastAsia="ru-RU"/>
        </w:rPr>
      </w:pPr>
    </w:p>
    <w:p w:rsidR="00382DE1" w:rsidRDefault="00382DE1" w:rsidP="004A7D06">
      <w:pPr>
        <w:jc w:val="center"/>
        <w:rPr>
          <w:sz w:val="28"/>
          <w:szCs w:val="28"/>
          <w:lang w:eastAsia="ru-RU"/>
        </w:rPr>
      </w:pPr>
    </w:p>
    <w:p w:rsidR="00382DE1" w:rsidRPr="00BE096E" w:rsidRDefault="00382DE1" w:rsidP="004A7D06">
      <w:pPr>
        <w:jc w:val="center"/>
        <w:rPr>
          <w:sz w:val="28"/>
          <w:szCs w:val="28"/>
          <w:lang w:eastAsia="ru-RU"/>
        </w:rPr>
      </w:pPr>
    </w:p>
    <w:p w:rsidR="00382DE1" w:rsidRDefault="00382DE1" w:rsidP="004A7D06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382DE1" w:rsidRDefault="00382DE1" w:rsidP="004A7D06">
      <w:pPr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СВМФК</w:t>
      </w:r>
      <w:r w:rsidRPr="00BE096E">
        <w:rPr>
          <w:b/>
          <w:bCs/>
          <w:color w:val="000000"/>
          <w:sz w:val="28"/>
          <w:szCs w:val="28"/>
          <w:lang w:eastAsia="ru-RU"/>
        </w:rPr>
        <w:t xml:space="preserve"> «</w:t>
      </w:r>
      <w:r w:rsidRPr="00382DE1">
        <w:rPr>
          <w:b/>
          <w:sz w:val="36"/>
          <w:szCs w:val="36"/>
        </w:rPr>
        <w:t>Общие правила проведения проверок</w:t>
      </w:r>
      <w:r w:rsidRPr="00382DE1">
        <w:rPr>
          <w:b/>
          <w:sz w:val="36"/>
          <w:szCs w:val="36"/>
        </w:rPr>
        <w:br/>
        <w:t>управления и распоряжения имуществом,</w:t>
      </w:r>
      <w:r w:rsidRPr="00382DE1">
        <w:rPr>
          <w:b/>
          <w:sz w:val="36"/>
          <w:szCs w:val="36"/>
        </w:rPr>
        <w:br/>
        <w:t>находящимся в муниципальной собственности</w:t>
      </w:r>
      <w:r w:rsidRPr="00BE096E">
        <w:rPr>
          <w:b/>
          <w:color w:val="000000"/>
          <w:sz w:val="28"/>
          <w:szCs w:val="28"/>
          <w:lang w:eastAsia="ru-RU"/>
        </w:rPr>
        <w:t>»</w:t>
      </w:r>
    </w:p>
    <w:p w:rsidR="00382DE1" w:rsidRPr="00BE096E" w:rsidRDefault="00382DE1" w:rsidP="004A7D06">
      <w:pPr>
        <w:jc w:val="center"/>
        <w:rPr>
          <w:b/>
          <w:color w:val="000000"/>
          <w:sz w:val="28"/>
          <w:szCs w:val="28"/>
          <w:lang w:eastAsia="ru-RU"/>
        </w:rPr>
      </w:pPr>
    </w:p>
    <w:p w:rsidR="00382DE1" w:rsidRPr="00045448" w:rsidRDefault="00382DE1" w:rsidP="004A7D06">
      <w:pPr>
        <w:ind w:firstLine="567"/>
        <w:jc w:val="center"/>
        <w:rPr>
          <w:sz w:val="28"/>
          <w:szCs w:val="28"/>
        </w:rPr>
      </w:pPr>
      <w:r w:rsidRPr="00045448">
        <w:rPr>
          <w:sz w:val="28"/>
          <w:szCs w:val="28"/>
        </w:rPr>
        <w:t xml:space="preserve">(утвержден </w:t>
      </w:r>
      <w:r>
        <w:rPr>
          <w:sz w:val="28"/>
          <w:szCs w:val="28"/>
        </w:rPr>
        <w:t>приказом председателя</w:t>
      </w:r>
      <w:r w:rsidRPr="000454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Контрольно-счетной палаты  муниципального района «Могойтуйский район» </w:t>
      </w:r>
      <w:r w:rsidRPr="00045448">
        <w:rPr>
          <w:sz w:val="28"/>
          <w:szCs w:val="28"/>
        </w:rPr>
        <w:t>от</w:t>
      </w:r>
      <w:r>
        <w:rPr>
          <w:sz w:val="28"/>
          <w:szCs w:val="28"/>
        </w:rPr>
        <w:t xml:space="preserve"> 07 февраля 2025 </w:t>
      </w:r>
      <w:r w:rsidRPr="00045448">
        <w:rPr>
          <w:sz w:val="28"/>
          <w:szCs w:val="28"/>
        </w:rPr>
        <w:t xml:space="preserve">г. № </w:t>
      </w:r>
      <w:r>
        <w:rPr>
          <w:sz w:val="28"/>
          <w:szCs w:val="28"/>
        </w:rPr>
        <w:t>5</w:t>
      </w:r>
      <w:r w:rsidRPr="00045448">
        <w:rPr>
          <w:sz w:val="28"/>
          <w:szCs w:val="28"/>
        </w:rPr>
        <w:t>)</w:t>
      </w:r>
    </w:p>
    <w:p w:rsidR="00382DE1" w:rsidRPr="00B90DF9" w:rsidRDefault="00382DE1" w:rsidP="004A7D0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Дата начала действия Стандарта с 07.02.2025 года.</w:t>
      </w:r>
    </w:p>
    <w:p w:rsidR="00382DE1" w:rsidRPr="00045448" w:rsidRDefault="00382DE1" w:rsidP="004A7D0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Срок действия-бессрочно</w:t>
      </w:r>
    </w:p>
    <w:p w:rsidR="00382DE1" w:rsidRDefault="00382DE1" w:rsidP="004A7D06">
      <w:pPr>
        <w:jc w:val="center"/>
      </w:pPr>
    </w:p>
    <w:p w:rsidR="00382DE1" w:rsidRDefault="00382DE1" w:rsidP="004A7D06">
      <w:pPr>
        <w:jc w:val="center"/>
      </w:pPr>
    </w:p>
    <w:p w:rsidR="00382DE1" w:rsidRDefault="00382DE1" w:rsidP="004A7D06">
      <w:pPr>
        <w:jc w:val="center"/>
      </w:pPr>
    </w:p>
    <w:p w:rsidR="00382DE1" w:rsidRDefault="00382DE1" w:rsidP="004A7D06">
      <w:pPr>
        <w:jc w:val="center"/>
      </w:pPr>
    </w:p>
    <w:p w:rsidR="00382DE1" w:rsidRDefault="00382DE1" w:rsidP="004A7D06">
      <w:pPr>
        <w:jc w:val="center"/>
      </w:pPr>
    </w:p>
    <w:p w:rsidR="00382DE1" w:rsidRDefault="00382DE1" w:rsidP="004A7D06">
      <w:pPr>
        <w:jc w:val="center"/>
      </w:pPr>
    </w:p>
    <w:p w:rsidR="00382DE1" w:rsidRDefault="00382DE1" w:rsidP="004A7D06">
      <w:pPr>
        <w:jc w:val="center"/>
      </w:pPr>
    </w:p>
    <w:p w:rsidR="00382DE1" w:rsidRDefault="00382DE1" w:rsidP="004A7D06">
      <w:pPr>
        <w:jc w:val="center"/>
      </w:pPr>
    </w:p>
    <w:p w:rsidR="00382DE1" w:rsidRDefault="00382DE1" w:rsidP="004A7D06">
      <w:pPr>
        <w:jc w:val="center"/>
      </w:pPr>
    </w:p>
    <w:p w:rsidR="00382DE1" w:rsidRDefault="00382DE1" w:rsidP="004A7D06">
      <w:pPr>
        <w:jc w:val="center"/>
      </w:pPr>
    </w:p>
    <w:p w:rsidR="00382DE1" w:rsidRDefault="00382DE1" w:rsidP="004A7D06">
      <w:pPr>
        <w:jc w:val="center"/>
      </w:pPr>
    </w:p>
    <w:p w:rsidR="00382DE1" w:rsidRDefault="00382DE1" w:rsidP="004A7D06">
      <w:pPr>
        <w:jc w:val="center"/>
      </w:pPr>
    </w:p>
    <w:p w:rsidR="00E32CAF" w:rsidRDefault="00E32CAF" w:rsidP="004A7D06">
      <w:pPr>
        <w:jc w:val="center"/>
      </w:pPr>
    </w:p>
    <w:p w:rsidR="00E32CAF" w:rsidRDefault="00E32CAF" w:rsidP="004A7D06">
      <w:pPr>
        <w:jc w:val="center"/>
      </w:pPr>
    </w:p>
    <w:p w:rsidR="00E32CAF" w:rsidRDefault="00E32CAF" w:rsidP="004A7D06">
      <w:pPr>
        <w:jc w:val="center"/>
      </w:pPr>
    </w:p>
    <w:p w:rsidR="00382DE1" w:rsidRDefault="00382DE1" w:rsidP="004A7D06">
      <w:pPr>
        <w:jc w:val="center"/>
      </w:pPr>
    </w:p>
    <w:p w:rsidR="00382DE1" w:rsidRDefault="00382DE1" w:rsidP="004A7D06">
      <w:pPr>
        <w:jc w:val="center"/>
      </w:pPr>
    </w:p>
    <w:p w:rsidR="00382DE1" w:rsidRDefault="00382DE1" w:rsidP="004A7D06">
      <w:pPr>
        <w:jc w:val="center"/>
        <w:rPr>
          <w:sz w:val="28"/>
          <w:szCs w:val="28"/>
        </w:rPr>
      </w:pPr>
      <w:r>
        <w:rPr>
          <w:sz w:val="28"/>
          <w:szCs w:val="28"/>
        </w:rPr>
        <w:t>пгт.Могойтуй</w:t>
      </w:r>
    </w:p>
    <w:p w:rsidR="00382DE1" w:rsidRDefault="00382DE1" w:rsidP="004A7D06">
      <w:pPr>
        <w:jc w:val="center"/>
        <w:rPr>
          <w:sz w:val="28"/>
          <w:szCs w:val="28"/>
        </w:rPr>
      </w:pPr>
      <w:r>
        <w:rPr>
          <w:sz w:val="28"/>
          <w:szCs w:val="28"/>
        </w:rPr>
        <w:t>2025 год</w:t>
      </w:r>
    </w:p>
    <w:p w:rsidR="00382DE1" w:rsidRDefault="00382DE1" w:rsidP="004A7D06">
      <w:pPr>
        <w:pStyle w:val="20"/>
        <w:shd w:val="clear" w:color="auto" w:fill="auto"/>
        <w:spacing w:before="0" w:after="457" w:line="280" w:lineRule="exact"/>
        <w:ind w:right="360"/>
        <w:jc w:val="center"/>
      </w:pPr>
    </w:p>
    <w:p w:rsidR="00382DE1" w:rsidRDefault="00382DE1" w:rsidP="004A7D06">
      <w:pPr>
        <w:pStyle w:val="20"/>
        <w:shd w:val="clear" w:color="auto" w:fill="auto"/>
        <w:spacing w:before="0" w:after="457" w:line="280" w:lineRule="exact"/>
        <w:ind w:right="360"/>
        <w:jc w:val="center"/>
      </w:pPr>
      <w:r>
        <w:lastRenderedPageBreak/>
        <w:t>Содержание</w:t>
      </w:r>
    </w:p>
    <w:p w:rsidR="00382DE1" w:rsidRDefault="00382DE1" w:rsidP="004A7D06">
      <w:pPr>
        <w:pStyle w:val="20"/>
        <w:numPr>
          <w:ilvl w:val="0"/>
          <w:numId w:val="1"/>
        </w:numPr>
        <w:shd w:val="clear" w:color="auto" w:fill="auto"/>
        <w:tabs>
          <w:tab w:val="left" w:pos="349"/>
          <w:tab w:val="left" w:leader="dot" w:pos="8486"/>
        </w:tabs>
        <w:spacing w:before="0" w:after="32" w:line="280" w:lineRule="exact"/>
        <w:jc w:val="center"/>
      </w:pPr>
      <w:r>
        <w:t>Общие положения</w:t>
      </w:r>
      <w:r>
        <w:tab/>
        <w:t>3</w:t>
      </w:r>
    </w:p>
    <w:p w:rsidR="00382DE1" w:rsidRDefault="00382DE1" w:rsidP="004A7D06">
      <w:pPr>
        <w:pStyle w:val="20"/>
        <w:numPr>
          <w:ilvl w:val="0"/>
          <w:numId w:val="1"/>
        </w:numPr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center"/>
      </w:pPr>
      <w:r>
        <w:t>Порядок организации проведения проверки</w:t>
      </w:r>
      <w:r>
        <w:tab/>
        <w:t>3</w:t>
      </w: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E32CAF" w:rsidRDefault="00E32CAF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E32CAF" w:rsidRDefault="00E32CAF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4A7D06" w:rsidRDefault="004A7D06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4A7D06" w:rsidRDefault="004A7D06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E32CAF" w:rsidRDefault="00E32CAF" w:rsidP="00E32CAF">
      <w:pPr>
        <w:pStyle w:val="20"/>
        <w:shd w:val="clear" w:color="auto" w:fill="auto"/>
        <w:tabs>
          <w:tab w:val="left" w:pos="378"/>
          <w:tab w:val="left" w:leader="dot" w:pos="8486"/>
        </w:tabs>
        <w:spacing w:before="0" w:line="280" w:lineRule="exact"/>
        <w:jc w:val="both"/>
      </w:pPr>
    </w:p>
    <w:p w:rsidR="00382DE1" w:rsidRDefault="00382DE1" w:rsidP="004A7D06">
      <w:pPr>
        <w:pStyle w:val="50"/>
        <w:shd w:val="clear" w:color="auto" w:fill="auto"/>
        <w:spacing w:after="0" w:line="240" w:lineRule="auto"/>
        <w:ind w:right="540"/>
        <w:jc w:val="center"/>
      </w:pPr>
      <w:r>
        <w:t>1. Общие положения</w:t>
      </w:r>
    </w:p>
    <w:p w:rsidR="00E32CAF" w:rsidRDefault="00E32CAF" w:rsidP="00E32CAF">
      <w:pPr>
        <w:pStyle w:val="50"/>
        <w:shd w:val="clear" w:color="auto" w:fill="auto"/>
        <w:spacing w:after="0" w:line="240" w:lineRule="auto"/>
        <w:ind w:right="540"/>
        <w:jc w:val="both"/>
      </w:pPr>
    </w:p>
    <w:p w:rsidR="00382DE1" w:rsidRDefault="00382DE1" w:rsidP="00E32CAF">
      <w:pPr>
        <w:pStyle w:val="20"/>
        <w:numPr>
          <w:ilvl w:val="0"/>
          <w:numId w:val="2"/>
        </w:numPr>
        <w:shd w:val="clear" w:color="auto" w:fill="auto"/>
        <w:tabs>
          <w:tab w:val="left" w:pos="1100"/>
        </w:tabs>
        <w:spacing w:before="0" w:line="240" w:lineRule="auto"/>
        <w:ind w:firstLine="600"/>
        <w:jc w:val="both"/>
      </w:pPr>
      <w:r>
        <w:t>Стандарт муниципального финансового контроля, осуществляемого Контрольно-счетной муниципального района (далее - Контрольно-счетная палата) «Общие правила проведения проверок управления и распоряжения имуществом, находящимся в муниципальной собственности» (далее - Стандарт) предназначен для методологического обеспечения реализации положений ст. 9, ст. 11 Федерального закона от 07.02.2011 № 6-ФЗ «Об общих принципах организации и деятельности контрольно-счетных органов субъектов Российской Федерации</w:t>
      </w:r>
      <w:r w:rsidR="00E92979">
        <w:t>, федеральных территорий</w:t>
      </w:r>
      <w:r>
        <w:t xml:space="preserve"> и муниципальных образований» (далее - Федеральный закон № 6-ФЗ), Положения «О Контрольно</w:t>
      </w:r>
      <w:r>
        <w:softHyphen/>
        <w:t>-счетной палате муниципального района «Могойтуйский район»», принятого решением Совета муниципального района от 10.12.2021 № 17-55.</w:t>
      </w:r>
    </w:p>
    <w:p w:rsidR="00382DE1" w:rsidRDefault="00382DE1" w:rsidP="00E32CAF">
      <w:pPr>
        <w:pStyle w:val="20"/>
        <w:numPr>
          <w:ilvl w:val="0"/>
          <w:numId w:val="2"/>
        </w:numPr>
        <w:shd w:val="clear" w:color="auto" w:fill="auto"/>
        <w:tabs>
          <w:tab w:val="left" w:pos="1100"/>
        </w:tabs>
        <w:spacing w:before="0" w:line="240" w:lineRule="auto"/>
        <w:ind w:firstLine="600"/>
        <w:jc w:val="both"/>
      </w:pPr>
      <w:r>
        <w:t>Стандарт разработан с учетом требований и положений Международных</w:t>
      </w:r>
      <w:r w:rsidR="00AE267F">
        <w:t xml:space="preserve"> </w:t>
      </w:r>
      <w:r>
        <w:t xml:space="preserve">стандартов ИНТОСАИ </w:t>
      </w:r>
      <w:r w:rsidRPr="00AE267F">
        <w:rPr>
          <w:lang w:val="en-US" w:bidi="en-US"/>
        </w:rPr>
        <w:t>ISSAI</w:t>
      </w:r>
      <w:r w:rsidRPr="00E95E56">
        <w:rPr>
          <w:lang w:bidi="en-US"/>
        </w:rPr>
        <w:t xml:space="preserve"> </w:t>
      </w:r>
      <w:r>
        <w:t>100-400, Регламента Контрольно-счетной палаты, а также с учетом имеющегося опыта проведения Контрольно</w:t>
      </w:r>
      <w:r>
        <w:softHyphen/>
        <w:t>-счетной палатой (далее — КСП) контрольных и экспертно-аналитических мероприятий в сфере управления и распоряжения имуществом, находящимся в муниципальной собственности.</w:t>
      </w:r>
    </w:p>
    <w:p w:rsidR="00382DE1" w:rsidRDefault="00382DE1" w:rsidP="00E32CAF">
      <w:pPr>
        <w:pStyle w:val="20"/>
        <w:numPr>
          <w:ilvl w:val="0"/>
          <w:numId w:val="2"/>
        </w:numPr>
        <w:shd w:val="clear" w:color="auto" w:fill="auto"/>
        <w:tabs>
          <w:tab w:val="left" w:pos="1100"/>
        </w:tabs>
        <w:spacing w:before="0" w:line="240" w:lineRule="auto"/>
        <w:ind w:firstLine="600"/>
        <w:jc w:val="both"/>
      </w:pPr>
      <w:r>
        <w:t>Целью Стандарта является установление общих правил, требований и процедур осуществления КСП контрольных мероприятий в сфере управления и распоряжения имуществом, находящимся в муниципальной собственности.</w:t>
      </w:r>
    </w:p>
    <w:p w:rsidR="00382DE1" w:rsidRDefault="00382DE1" w:rsidP="00E32CAF">
      <w:pPr>
        <w:pStyle w:val="20"/>
        <w:numPr>
          <w:ilvl w:val="0"/>
          <w:numId w:val="2"/>
        </w:numPr>
        <w:shd w:val="clear" w:color="auto" w:fill="auto"/>
        <w:tabs>
          <w:tab w:val="left" w:pos="1100"/>
        </w:tabs>
        <w:spacing w:before="0" w:line="240" w:lineRule="auto"/>
        <w:ind w:firstLine="600"/>
        <w:jc w:val="both"/>
      </w:pPr>
      <w:r>
        <w:t>Задачами Стандарта являются:</w:t>
      </w:r>
    </w:p>
    <w:p w:rsidR="00382DE1" w:rsidRDefault="00382DE1" w:rsidP="00E32CAF">
      <w:pPr>
        <w:pStyle w:val="20"/>
        <w:numPr>
          <w:ilvl w:val="0"/>
          <w:numId w:val="3"/>
        </w:numPr>
        <w:shd w:val="clear" w:color="auto" w:fill="auto"/>
        <w:tabs>
          <w:tab w:val="left" w:pos="812"/>
        </w:tabs>
        <w:spacing w:before="0" w:line="240" w:lineRule="auto"/>
        <w:ind w:firstLine="600"/>
        <w:jc w:val="both"/>
      </w:pPr>
      <w:r>
        <w:t>определение содержания и порядка организации контрольных мероприятий;</w:t>
      </w:r>
    </w:p>
    <w:p w:rsidR="00382DE1" w:rsidRDefault="00382DE1" w:rsidP="00E32CAF">
      <w:pPr>
        <w:pStyle w:val="20"/>
        <w:numPr>
          <w:ilvl w:val="0"/>
          <w:numId w:val="3"/>
        </w:numPr>
        <w:shd w:val="clear" w:color="auto" w:fill="auto"/>
        <w:tabs>
          <w:tab w:val="left" w:pos="812"/>
        </w:tabs>
        <w:spacing w:before="0" w:line="240" w:lineRule="auto"/>
        <w:ind w:firstLine="600"/>
        <w:jc w:val="both"/>
      </w:pPr>
      <w:r>
        <w:t>определение общих правил и процедур проведения проверок.</w:t>
      </w:r>
    </w:p>
    <w:p w:rsidR="00F645DF" w:rsidRDefault="00F645DF" w:rsidP="00F645DF">
      <w:pPr>
        <w:pStyle w:val="20"/>
        <w:shd w:val="clear" w:color="auto" w:fill="auto"/>
        <w:tabs>
          <w:tab w:val="left" w:pos="812"/>
        </w:tabs>
        <w:spacing w:before="0" w:line="240" w:lineRule="auto"/>
        <w:ind w:left="600"/>
        <w:jc w:val="both"/>
      </w:pPr>
    </w:p>
    <w:p w:rsidR="00382DE1" w:rsidRDefault="00382DE1" w:rsidP="00A6075E">
      <w:pPr>
        <w:pStyle w:val="50"/>
        <w:shd w:val="clear" w:color="auto" w:fill="auto"/>
        <w:spacing w:after="0" w:line="240" w:lineRule="auto"/>
        <w:jc w:val="center"/>
      </w:pPr>
      <w:r>
        <w:t>2. Порядок организации проведения проверки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Организация проведения проверки осуществляется в соответствии с планом работы КСП, установленным Регламентом, порядком проведения и оформления результатов проверок, ревизий и обследований, проведенных КСП.Организация проведения проверки является начальной стадией контрольного мероприятия и состоит из двух этапов:</w:t>
      </w:r>
    </w:p>
    <w:p w:rsidR="00382DE1" w:rsidRDefault="00382DE1" w:rsidP="00E32CAF">
      <w:pPr>
        <w:pStyle w:val="20"/>
        <w:numPr>
          <w:ilvl w:val="0"/>
          <w:numId w:val="4"/>
        </w:numPr>
        <w:shd w:val="clear" w:color="auto" w:fill="auto"/>
        <w:tabs>
          <w:tab w:val="left" w:pos="1079"/>
        </w:tabs>
        <w:spacing w:before="0" w:line="240" w:lineRule="auto"/>
        <w:ind w:firstLine="740"/>
        <w:jc w:val="both"/>
      </w:pPr>
      <w:r>
        <w:t>разработки программы проверки;</w:t>
      </w:r>
    </w:p>
    <w:p w:rsidR="00382DE1" w:rsidRDefault="00382DE1" w:rsidP="00E32CAF">
      <w:pPr>
        <w:pStyle w:val="20"/>
        <w:numPr>
          <w:ilvl w:val="0"/>
          <w:numId w:val="4"/>
        </w:numPr>
        <w:shd w:val="clear" w:color="auto" w:fill="auto"/>
        <w:tabs>
          <w:tab w:val="left" w:pos="1108"/>
        </w:tabs>
        <w:spacing w:before="0" w:line="240" w:lineRule="auto"/>
        <w:ind w:firstLine="740"/>
        <w:jc w:val="both"/>
      </w:pPr>
      <w:r>
        <w:t>предварительной подготовки к проверке.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Программа проверки служит основным руководством для проверяющего (группы проверяющих), определяет подлежащие контролю направления деятельности объекта контроля, объем, виды и последовательность контрольных процедур и является детально разработанным порядком проведения контрольного мероприятия. В программе указывается перечень проверяемых объектов, срок проведения проверки, приводится персональный состав лиц, принимающих участие в проверке.Проведению проверки должно предшествовать предварительное изучение объекта контроля на основе доступной информации, включая ознакомление с законодательством, относящимся к деятельности объекта контроля, в том числе учредительными документами, другими документами, определяющими процедуры его финансирования и производимые им расходы, материалами предыдущих проверок, а также принятыми по их результатам мерами.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Для подготовки программы необходимо предварительно определить:</w:t>
      </w:r>
    </w:p>
    <w:p w:rsidR="00382DE1" w:rsidRDefault="00382DE1" w:rsidP="00E32CAF">
      <w:pPr>
        <w:pStyle w:val="20"/>
        <w:numPr>
          <w:ilvl w:val="0"/>
          <w:numId w:val="3"/>
        </w:numPr>
        <w:shd w:val="clear" w:color="auto" w:fill="auto"/>
        <w:tabs>
          <w:tab w:val="left" w:pos="954"/>
        </w:tabs>
        <w:spacing w:before="0" w:line="240" w:lineRule="auto"/>
        <w:ind w:firstLine="740"/>
        <w:jc w:val="both"/>
      </w:pPr>
      <w:r>
        <w:t>полный перечень объектов проверки;</w:t>
      </w:r>
    </w:p>
    <w:p w:rsidR="00382DE1" w:rsidRDefault="00382DE1" w:rsidP="00E32CAF">
      <w:pPr>
        <w:pStyle w:val="20"/>
        <w:numPr>
          <w:ilvl w:val="0"/>
          <w:numId w:val="3"/>
        </w:numPr>
        <w:shd w:val="clear" w:color="auto" w:fill="auto"/>
        <w:tabs>
          <w:tab w:val="left" w:pos="954"/>
        </w:tabs>
        <w:spacing w:before="0" w:line="240" w:lineRule="auto"/>
        <w:ind w:firstLine="740"/>
        <w:jc w:val="both"/>
      </w:pPr>
      <w:r>
        <w:t>руководителя проверки и состав рабочей группы;</w:t>
      </w:r>
    </w:p>
    <w:p w:rsidR="00382DE1" w:rsidRDefault="00382DE1" w:rsidP="00E32CAF">
      <w:pPr>
        <w:pStyle w:val="20"/>
        <w:numPr>
          <w:ilvl w:val="0"/>
          <w:numId w:val="3"/>
        </w:numPr>
        <w:shd w:val="clear" w:color="auto" w:fill="auto"/>
        <w:tabs>
          <w:tab w:val="left" w:pos="940"/>
        </w:tabs>
        <w:spacing w:before="0" w:line="240" w:lineRule="auto"/>
        <w:ind w:firstLine="740"/>
        <w:jc w:val="both"/>
      </w:pPr>
      <w:r>
        <w:t>перечень объектов, в адрес которых будут рассылаться уведомления, а также запросы с целью получения информации, необходимой для решения задач проверки;</w:t>
      </w:r>
    </w:p>
    <w:p w:rsidR="00382DE1" w:rsidRDefault="00382DE1" w:rsidP="00E32CAF">
      <w:pPr>
        <w:pStyle w:val="20"/>
        <w:numPr>
          <w:ilvl w:val="0"/>
          <w:numId w:val="3"/>
        </w:numPr>
        <w:shd w:val="clear" w:color="auto" w:fill="auto"/>
        <w:tabs>
          <w:tab w:val="left" w:pos="954"/>
        </w:tabs>
        <w:spacing w:before="0" w:line="240" w:lineRule="auto"/>
        <w:ind w:firstLine="740"/>
        <w:jc w:val="both"/>
      </w:pPr>
      <w:r>
        <w:t>сроки начала и окончания проверки.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Основанием для проведения проверки использования имущества, находящегося в муниципальной собственности, является план работы КСП, составленный в соответствии с положениями ст. 9 Федерального закона № 6-ФЗ.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Органы местного самоуправления осуществляют правомочия собственника в отношении муниципального имущества в рамках своей компетенции. Согласно ст. 35 Федерального закона РФ от 06.10.2003 № 131-ФЗ «Об общих принципах организации местного самоуправления в Российской Федерации» к исключительной компетенции представительного органа муниципального образования относятся определение порядка управления и распоряжения имуществом, находящимся в муниципальной собственности, а также определение порядка принятия решений о создании, реорганизации и ликвидации муниципальных предприятий и учреждений.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Представительные органы местного самоуправления устанавливают порядок управления и распоряжения объектами муниципальной собственности, а исполнительные органы местного самоуправления, исходя из установленного порядка, непосредственно владеют, пользуются, распоряжаются этим имуществом.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Осуществляя права собственника в отношении имущества, входящего в состав муниципальной собственности, органы местного самоуправления имеют право передавать объекты муниципальной собственности во временное или постоянное пользование физическим и юридическим лицам, сдавать в аренду, отчуждать в установленном порядке, а также совершать с находящимся в муниципальной собственности имуществом иные сделки.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Предмет проверки определяется как целью контрольного мероприятия, так и особенностями проверяемого объекта.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В данном случае предметом проверки является деятельность органов местного самоуправления и подведомственных им учреждений и предприятий по законности и эффективности использования муниципального имущества в соответствии с нормативными правовыми актами Российской Федерации, Забайкальского края и муниципального района.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 xml:space="preserve">Предметом проверки органа, уполномоченного осуществлять администрирование сбора неналоговых доходов бюджета, </w:t>
      </w:r>
      <w:r w:rsidR="00AE267F">
        <w:t xml:space="preserve">в </w:t>
      </w:r>
      <w:r>
        <w:t>общем случае является исполнение им федерального, областного и муниципального законодательства по следующим вопросам:</w:t>
      </w:r>
    </w:p>
    <w:p w:rsidR="00382DE1" w:rsidRDefault="00382DE1" w:rsidP="00E32CAF">
      <w:pPr>
        <w:pStyle w:val="20"/>
        <w:numPr>
          <w:ilvl w:val="0"/>
          <w:numId w:val="3"/>
        </w:numPr>
        <w:shd w:val="clear" w:color="auto" w:fill="auto"/>
        <w:tabs>
          <w:tab w:val="left" w:pos="922"/>
        </w:tabs>
        <w:spacing w:before="0" w:line="240" w:lineRule="auto"/>
        <w:ind w:firstLine="740"/>
        <w:jc w:val="both"/>
      </w:pPr>
      <w:r>
        <w:t>правовые и властные отношения, складывающиеся в процессе управления и распоряжения муниципальной собственностью;</w:t>
      </w:r>
    </w:p>
    <w:p w:rsidR="00382DE1" w:rsidRDefault="00382DE1" w:rsidP="00E32CAF">
      <w:pPr>
        <w:pStyle w:val="20"/>
        <w:numPr>
          <w:ilvl w:val="0"/>
          <w:numId w:val="3"/>
        </w:numPr>
        <w:shd w:val="clear" w:color="auto" w:fill="auto"/>
        <w:tabs>
          <w:tab w:val="left" w:pos="922"/>
        </w:tabs>
        <w:spacing w:before="0" w:line="240" w:lineRule="auto"/>
        <w:ind w:firstLine="740"/>
        <w:jc w:val="both"/>
      </w:pPr>
      <w:r>
        <w:t>властные отношения, складывающиеся в процессе администрирования неналоговых доходов бюджета (учета и контроля поступлений в разрезе плательщиков и т.д.), а также в процессе составления и исполнения бюджета муниципального образования при казначейском методе исполнения.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Предметом проверки муниципального учреждения является его деятельность по владению, пользованию и распоряжению имуществом, переданным ему в оперативное управление.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Предметом проверки муниципального унитарного предприятия является деятельность унитарного предприятия по владению, пользованию и распоряжению имуществом, переданным ему в хозяйственное ведение.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Предметом проверки приватизации муниципального имущества является соблюдение органами местного самоуправления действующего законодательства по вопросам приватизации собственности муниципального образования.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Цели проверки: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Основной целью проверки органа, уполномоченного осуществлять сбор неналоговых доходов бюджета муниципального образования, является оценка выполнения им властных полномочий и функций прогнозирования, учета и контроля полноты и своевременности поступления денежных средств по источникам неналоговых доходов в условиях казначейского исполнения бюджета, а также оценка степени эффективности использования имущественного потенциала.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Основной целью проверки муниципального предприятия, муниципального учреждения является оценка эффективности использования ими муниципальной собственности.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Основной целью проверки хозяйствующего субъекта, имеющего в оперативном управлении имущество муниципального образования, является оценка выполнения оперативным управляющим условий договора оперативного управления, заключенного с ним собственником имущества (учредителем управления), а также оценка эффективности оперативного управления с точки зрения соблюдения интересов собственника имущества.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Основной целью проверки продавца муниципального имущества является оценка реализации им полномочий продавца, переданных ему собственником муниципального имущества.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Задачи проверки: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Выбор и формулировка задач проверки должны осуществляться таким образом, чтобы их решение в совокупности способствовало достижению поставленной цели. В то же время, каждая из задач должна носить автономный характер, позволяющий исполнителю - участнику рабочей группы, ответственному за решение той или иной задачи, работать относительно самостоятельно, независимо от других членов рабочей группы.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Основные задачи проверки: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Проверка органа, осуществляющего администрирование сбора неналоговых доходов бюджета, может осуществляться по следующим направлениям: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оценка системы внутреннего контроля;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проверка соблюдения порядка учета муниципального имущества, проверка соблюдения порядка регистрации муниципального имущества и права собственности на указанное имущество;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проверка соблюдения порядка оформления вещных прав на имущество, находящееся в собственности муниципального образования (хозяйственное ведение, оперативное управление);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проверка установленного порядка передачи в оперативное управление, хозяйственное ведение, в аренду имущества, находящегося в собственности муниципального образования;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проверка законности и эффективности распоряжения муниципальным имуществом при вхождении муниципального образования в уставные капиталы хозяйственных обществ;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 xml:space="preserve">проверка организации учета платежей от использования и распоряжения имуществом при казначейской системе исполнения бюджета. 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проверка достоверности учета поступающих платежей в разрезе плательщиков (на основании первичных расчетных документов);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проверка мер по обеспечению соблюдения установленного порядка перечисления платежей в бюджет.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В частности, оценка системы внутреннего контроля включает рассмотрение организованного внутри объекта проверки и его силами надзора и проверки: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соблюдения требований законодательства и нормативных правовых актов; точности и полноты учета доходов от распоряжения и использования имущества муниципального образования;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своевременности подготовки достоверной отчетности, в том числе бухгалтерской, о результатах распоряжения и использования имущества муниципального образования;</w:t>
      </w:r>
    </w:p>
    <w:p w:rsidR="00AE267F" w:rsidRDefault="00AE267F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предотвращения ошибок и</w:t>
      </w:r>
      <w:r w:rsidRPr="00AE267F">
        <w:t xml:space="preserve"> </w:t>
      </w:r>
      <w:r>
        <w:t>искажений;</w:t>
      </w:r>
    </w:p>
    <w:p w:rsidR="00AE267F" w:rsidRDefault="00AE267F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исполнения приказов и</w:t>
      </w:r>
      <w:r w:rsidRPr="00AE267F">
        <w:t xml:space="preserve"> </w:t>
      </w:r>
      <w:r>
        <w:t>распоряжений;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обеспечения сохранности имущества, находящегося в собственности муниципального образования и переданного проверяемой организации в пользование.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Также представляется целесообразным оценить полноту и необходимость совершенствования нормативной базы по вопросам управления и распоряжения муниципальным имуществом.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Муниципальное имущество подлежит учету в соответствии с порядком, установленным Советом.</w:t>
      </w:r>
    </w:p>
    <w:p w:rsidR="00AE267F" w:rsidRDefault="00AE267F" w:rsidP="00E32CAF">
      <w:pPr>
        <w:pStyle w:val="20"/>
        <w:shd w:val="clear" w:color="auto" w:fill="auto"/>
        <w:spacing w:before="0" w:line="240" w:lineRule="auto"/>
        <w:ind w:firstLine="740"/>
        <w:jc w:val="both"/>
      </w:pP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Документом, удостоверяющим право муниципальной собственности на недвижимое имущество, является свидетельство о государственной регистрации права, выданное Управлением Федеральной службы государственной регистрации, кадастра и картографии по Забайкальскому краю. Документом, подтверждающим право муниципальной собственности на движимое имущество, является выписка из реестра муниципальной собственности.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При проверке учета муниципального имущества следует проверить: как ведется реестр муниципальной собственности, в том числе реестр муниципальных унитарных предприятий, реестр хозяйственных обществ, товариществ и некоммерческих организаций с участием муниципального образования, реестр объектов недвижимости, находящихся в собственности муниципального образования.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При этом следует иметь в виду, что часть муниципального имущества передается муниципальным унитарным предприятиям в хозяйственное ведение, аренду, а часть - муниципальным учреждениям в оперативное управление.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Муниципальные предприятия и учреждения, за которыми закрепляется определенное имущество, осуществляют в его отношении правомочия владения, пользования, распоряжения, но их действия по управлению вверенным имуществом ограничены усмотрением органов местного самоуправления, продолжающих осуществлять в отношении названного имущества правомочия собственника.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Согласно статье 295 ГК РФ муниципальные унитарные предприятия не вправе продавать принадлежащее им на праве хозяйственного ведения недвижимое имущество, сдавать его в аренду, отдавать в залог, вносить в качестве вклада в уставный (складочный) капитал хозяйственных обществ и товариществ или иным способом распоряжаться этим имуществом без согласия собственника. Остальным своим имуществом муниципальные предприятия распоряжаются, по общему правилу, самостоятельно. Согласно той же статье муниципальные образования в лице органов местного самоуправления имеют право на получение части прибыли от использования имущества, находящегося в хозяйственном ведении предприятий.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Сведения о муниципальном имуществе, закрепленном за муниципальными организациями на праве хозяйственного ведения и оперативного управления, так же, как и о казенном имуществе, заносятся в реестр муниципальной собственности.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В этой связи необходимо проверить: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наличие правоустанавливающих документов на имущество (свидетельств о государственной регистрации прав хозяйственного ведения (для муниципальных предприятий, за исключением казенных), оперативного управления (для муниципальных учреждений и казенных предприятий) согласно ст. 131 ГК РФ, а также договоров оперативного управления, хозяйственного ведения, актов приема- передачи к ним, приказов о передаче имущества;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законность использования помещений, зданий сооружений; наличие заключенных с администрацией договоров аренды земельных участков (для муниципальных унитарных предприятий, за исключением казенных предприятий), свидетельств о праве постоянного бессрочного пользования (для муниципальных учреждений и муниципальных казенных предприятий);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сравнить перечень объектов имущества, содержащихся в приложении к договорам хозяйственного ведения (оперативного управления) с данными бухгалтерского учета основных средств;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наличие в договорах хозяйственного ведения, оперативного управления указаний на сроки их действия.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При проверке установленного порядка передачи в аренду имущества, находящегося в собственности муниципального образования, необходимо проверить: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ведение реестра арендаторов муниципальной собственности;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наличие оценки объектов аренды (в соответствии со ст. 8 Федерального закона от 29.07.1998 № 135-ФЗ «Об оценочной деятельности в РФ»);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фактические поступления в бюджет (или на счета муниципальных предприятий и учреждений) доходов от арендной платы;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осуществляется ли и какими средствами контроль полноты и своевременности перечисления арендаторами арендной платы (при этом следует проверить наличие копий платежных поручений на перечисление арендной платы);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какие меры принимаются к неплательщикам арендной платы (расторжение договоров аренды, обращения в арбитражный суд и т.д.);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соблюдение установленного порядка передачи имущества в доверительное управление.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60"/>
        <w:jc w:val="both"/>
      </w:pPr>
      <w:r>
        <w:t>В ходе проверки муниципальных предприятий (учреждений) необходимо проверить:</w:t>
      </w:r>
    </w:p>
    <w:p w:rsidR="00382DE1" w:rsidRDefault="00AE267F" w:rsidP="00E32CAF">
      <w:pPr>
        <w:pStyle w:val="20"/>
        <w:shd w:val="clear" w:color="auto" w:fill="auto"/>
        <w:spacing w:before="0" w:line="240" w:lineRule="auto"/>
        <w:ind w:firstLine="240"/>
        <w:jc w:val="both"/>
      </w:pPr>
      <w:r>
        <w:t xml:space="preserve">        </w:t>
      </w:r>
      <w:r w:rsidR="00382DE1">
        <w:t>имелись ли факты сдачи помещений в аренду хозяйствующим субъектам без возмещения ими расходов по аренде, за коммунальные услуги;</w:t>
      </w:r>
    </w:p>
    <w:p w:rsidR="00382DE1" w:rsidRDefault="00AE267F" w:rsidP="00E32CAF">
      <w:pPr>
        <w:pStyle w:val="20"/>
        <w:shd w:val="clear" w:color="auto" w:fill="auto"/>
        <w:spacing w:before="0" w:line="240" w:lineRule="auto"/>
        <w:ind w:firstLine="240"/>
        <w:jc w:val="both"/>
      </w:pPr>
      <w:r>
        <w:t xml:space="preserve">        </w:t>
      </w:r>
      <w:r w:rsidR="00382DE1">
        <w:t>наличие решений собственника о согласовании сдачи в аренду муниципального имущества, наличие письменного согласования заместителя главы, кури</w:t>
      </w:r>
      <w:r w:rsidR="00382DE1">
        <w:softHyphen/>
        <w:t>рующего данное направление;</w:t>
      </w:r>
    </w:p>
    <w:p w:rsidR="00382DE1" w:rsidRDefault="00AE267F" w:rsidP="00E32CAF">
      <w:pPr>
        <w:pStyle w:val="20"/>
        <w:shd w:val="clear" w:color="auto" w:fill="auto"/>
        <w:spacing w:before="0" w:line="240" w:lineRule="auto"/>
        <w:ind w:firstLine="240"/>
        <w:jc w:val="both"/>
      </w:pPr>
      <w:r>
        <w:t xml:space="preserve">        </w:t>
      </w:r>
      <w:r w:rsidR="00382DE1">
        <w:t>при сдаче имущества в аренду для целей деятельности учреждения (пред</w:t>
      </w:r>
      <w:r w:rsidR="00382DE1">
        <w:softHyphen/>
        <w:t>приятия), при сдаче имущества в аренду для осуществления других видов дея</w:t>
      </w:r>
      <w:r w:rsidR="00382DE1">
        <w:softHyphen/>
        <w:t>тельности необходимо выяснить вопрос о том, не влечет ли это за собой ухудше</w:t>
      </w:r>
      <w:r w:rsidR="00382DE1">
        <w:softHyphen/>
        <w:t>ния основной деятельности и нарушения санитарно-гигиенических, противопо</w:t>
      </w:r>
      <w:r w:rsidR="00382DE1">
        <w:softHyphen/>
        <w:t>жарных и других норм;</w:t>
      </w:r>
    </w:p>
    <w:p w:rsidR="00382DE1" w:rsidRDefault="00AE267F" w:rsidP="00E32CAF">
      <w:pPr>
        <w:pStyle w:val="20"/>
        <w:shd w:val="clear" w:color="auto" w:fill="auto"/>
        <w:spacing w:before="0" w:line="240" w:lineRule="auto"/>
        <w:ind w:firstLine="240"/>
        <w:jc w:val="both"/>
      </w:pPr>
      <w:r>
        <w:t xml:space="preserve">        </w:t>
      </w:r>
      <w:r w:rsidR="00382DE1">
        <w:t>наличие государственной регистрации договоров аренды (в случае заключения договора аренды на срок более года);</w:t>
      </w:r>
    </w:p>
    <w:p w:rsidR="00382DE1" w:rsidRDefault="00AE267F" w:rsidP="00E32CAF">
      <w:pPr>
        <w:pStyle w:val="20"/>
        <w:shd w:val="clear" w:color="auto" w:fill="auto"/>
        <w:spacing w:before="0" w:line="240" w:lineRule="auto"/>
        <w:ind w:firstLine="240"/>
        <w:jc w:val="both"/>
      </w:pPr>
      <w:r>
        <w:t xml:space="preserve">        </w:t>
      </w:r>
      <w:r w:rsidR="00382DE1">
        <w:t>администрирование арендной платы: соответствие расчета взимаемой арендной платы, наличие (отсутствие) задолженности по арендной плате; меры, предпринимаемые учреждением (предприятием) по урегулированию задол</w:t>
      </w:r>
      <w:r w:rsidR="00382DE1">
        <w:softHyphen/>
        <w:t>женности, в том числе наличие фактов расторжения договоров аренды в судебном порядке;</w:t>
      </w:r>
    </w:p>
    <w:p w:rsidR="00382DE1" w:rsidRDefault="00AE267F" w:rsidP="00E32CAF">
      <w:pPr>
        <w:pStyle w:val="20"/>
        <w:shd w:val="clear" w:color="auto" w:fill="auto"/>
        <w:spacing w:before="0" w:line="240" w:lineRule="auto"/>
        <w:ind w:firstLine="240"/>
        <w:jc w:val="both"/>
      </w:pPr>
      <w:r>
        <w:t xml:space="preserve">          </w:t>
      </w:r>
      <w:r w:rsidR="00382DE1">
        <w:t>имелись ли факты сдачи оборудования в аренду, а также факты продажи оборудования, мебели, инвентаря, средств оргтехники и других материальных ценностей, в том числе по заниженным ценам, без соответствующего разрешения собственника и без оформления этих операций по бухгалтерскому учету.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60"/>
        <w:jc w:val="both"/>
      </w:pPr>
      <w:r>
        <w:t>Отражение в бухгалтерском учете муниципальных предприятий и учреждений операций с муниципальной собственностью: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60"/>
        <w:jc w:val="both"/>
      </w:pPr>
      <w:r>
        <w:t>наличие договоров о полной индивидуальной материальной ответственности с лицами, ответственными за хранение основных средств;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60"/>
        <w:jc w:val="both"/>
      </w:pPr>
      <w:r>
        <w:t>правильность отнесения ценностей к основным средствам, порядок ведения инвентарных карточек, актов приема-передачи, перемещения, ликвидации основ</w:t>
      </w:r>
      <w:r>
        <w:softHyphen/>
        <w:t>ных средств;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60"/>
        <w:jc w:val="both"/>
      </w:pPr>
      <w:r>
        <w:t>обеспечение правильного документального оформления поступления, пере</w:t>
      </w:r>
      <w:r>
        <w:softHyphen/>
        <w:t>мещения, выбытия основных средств, а также контроль сохранности и правильно</w:t>
      </w:r>
      <w:r>
        <w:softHyphen/>
        <w:t>сти использования каждого объекта;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left="740"/>
        <w:jc w:val="both"/>
      </w:pPr>
      <w:r>
        <w:t>правильность начисления и износа основных средств.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Имущество предприятий и учреждений учитывается на балансе по источни</w:t>
      </w:r>
      <w:r>
        <w:softHyphen/>
        <w:t>кам формирования, установленным Уставом:</w:t>
      </w:r>
    </w:p>
    <w:p w:rsidR="00382DE1" w:rsidRDefault="00382DE1" w:rsidP="00E32CAF">
      <w:pPr>
        <w:pStyle w:val="20"/>
        <w:numPr>
          <w:ilvl w:val="0"/>
          <w:numId w:val="5"/>
        </w:numPr>
        <w:shd w:val="clear" w:color="auto" w:fill="auto"/>
        <w:tabs>
          <w:tab w:val="left" w:pos="1129"/>
        </w:tabs>
        <w:spacing w:before="0" w:line="240" w:lineRule="auto"/>
        <w:ind w:firstLine="740"/>
        <w:jc w:val="both"/>
      </w:pPr>
      <w:r>
        <w:t xml:space="preserve">переданное на основании договора с </w:t>
      </w:r>
      <w:r w:rsidR="00703332">
        <w:t>Управлением</w:t>
      </w:r>
      <w:r w:rsidR="00AE267F">
        <w:t xml:space="preserve"> </w:t>
      </w:r>
      <w:r>
        <w:t xml:space="preserve"> </w:t>
      </w:r>
      <w:r w:rsidR="00703332">
        <w:t xml:space="preserve">экономического развития, прогнозирования и </w:t>
      </w:r>
      <w:r>
        <w:t>имуществ</w:t>
      </w:r>
      <w:r w:rsidR="00703332">
        <w:t>а</w:t>
      </w:r>
      <w:r>
        <w:t xml:space="preserve"> администрации</w:t>
      </w:r>
      <w:r w:rsidR="00703332">
        <w:t xml:space="preserve"> муниципального района «Могойтуйский район»</w:t>
      </w:r>
      <w:r>
        <w:t>:</w:t>
      </w:r>
    </w:p>
    <w:p w:rsidR="00382DE1" w:rsidRDefault="00382DE1" w:rsidP="00AE267F">
      <w:pPr>
        <w:pStyle w:val="20"/>
        <w:shd w:val="clear" w:color="auto" w:fill="auto"/>
        <w:spacing w:before="0" w:line="240" w:lineRule="auto"/>
        <w:ind w:firstLine="740"/>
        <w:jc w:val="both"/>
      </w:pPr>
      <w:r>
        <w:t>как взнос в уставный капитал; на праве хозяйственного ведения; на праве оперативного управления;</w:t>
      </w:r>
    </w:p>
    <w:p w:rsidR="00382DE1" w:rsidRDefault="00382DE1" w:rsidP="00E32CAF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before="0" w:line="240" w:lineRule="auto"/>
        <w:ind w:firstLine="740"/>
        <w:jc w:val="both"/>
      </w:pPr>
      <w:r>
        <w:t>приобретенное за счет прибыли, полученной в результате предпринима</w:t>
      </w:r>
      <w:r>
        <w:softHyphen/>
        <w:t>тельской деятельности и остающейся в распоряжении предприятия (учреждения):</w:t>
      </w:r>
    </w:p>
    <w:p w:rsidR="00382DE1" w:rsidRDefault="00382DE1" w:rsidP="00E32CAF">
      <w:pPr>
        <w:pStyle w:val="20"/>
        <w:numPr>
          <w:ilvl w:val="0"/>
          <w:numId w:val="5"/>
        </w:numPr>
        <w:shd w:val="clear" w:color="auto" w:fill="auto"/>
        <w:tabs>
          <w:tab w:val="left" w:pos="1169"/>
        </w:tabs>
        <w:spacing w:before="0" w:line="240" w:lineRule="auto"/>
        <w:ind w:left="740"/>
        <w:jc w:val="both"/>
      </w:pPr>
      <w:r>
        <w:t>приобретенное за счет заемных средств;</w:t>
      </w:r>
    </w:p>
    <w:p w:rsidR="00382DE1" w:rsidRDefault="00382DE1" w:rsidP="00E32CAF">
      <w:pPr>
        <w:pStyle w:val="20"/>
        <w:numPr>
          <w:ilvl w:val="0"/>
          <w:numId w:val="5"/>
        </w:numPr>
        <w:shd w:val="clear" w:color="auto" w:fill="auto"/>
        <w:tabs>
          <w:tab w:val="left" w:pos="1129"/>
        </w:tabs>
        <w:spacing w:before="0" w:line="240" w:lineRule="auto"/>
        <w:ind w:firstLine="740"/>
        <w:jc w:val="both"/>
      </w:pPr>
      <w:r>
        <w:t>приобретенное (созданное) за счет бюджетных средств, поступивших на безвозмездной основе на капитальные вложения предприятия, учреждения;</w:t>
      </w:r>
    </w:p>
    <w:p w:rsidR="00382DE1" w:rsidRDefault="00382DE1" w:rsidP="00E32CAF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before="0" w:line="240" w:lineRule="auto"/>
        <w:ind w:firstLine="740"/>
        <w:jc w:val="both"/>
      </w:pPr>
      <w:r>
        <w:t>бюджетные кредиты и заимствования, с обязательной их регистрацией в финансовом органе и представлением отчета об их использовании;</w:t>
      </w:r>
    </w:p>
    <w:p w:rsidR="00382DE1" w:rsidRDefault="00382DE1" w:rsidP="00E32CAF">
      <w:pPr>
        <w:pStyle w:val="20"/>
        <w:numPr>
          <w:ilvl w:val="0"/>
          <w:numId w:val="5"/>
        </w:numPr>
        <w:shd w:val="clear" w:color="auto" w:fill="auto"/>
        <w:tabs>
          <w:tab w:val="left" w:pos="1169"/>
        </w:tabs>
        <w:spacing w:before="0" w:line="240" w:lineRule="auto"/>
        <w:ind w:left="740"/>
        <w:jc w:val="both"/>
      </w:pPr>
      <w:r>
        <w:t>доходы от участия в уставных капиталах других организаций.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left="740"/>
        <w:jc w:val="both"/>
      </w:pPr>
      <w:r>
        <w:t>Проверка порядка приватизации муниципального имущества: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Приватизация муниципального имущества направлена на решение задач: обеспечения поэтапного сокращения числа малоэффективных муниципаль</w:t>
      </w:r>
      <w:r>
        <w:softHyphen/>
        <w:t>ных унитарных предприятий, повышения эффективности деятельности хозяйствующих субъектов;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оптимизации структуры и повышения эффективности управления муници</w:t>
      </w:r>
      <w:r>
        <w:softHyphen/>
        <w:t>пальной собственностью;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привлечения инвестиций в реальный сектор экономики и оздоровления эко</w:t>
      </w:r>
      <w:r>
        <w:softHyphen/>
        <w:t>номики хозяйствующих субъектов;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left="740"/>
        <w:jc w:val="both"/>
      </w:pPr>
      <w:r>
        <w:t xml:space="preserve">пополнения доходной части бюджета; 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left="740"/>
        <w:jc w:val="both"/>
      </w:pPr>
      <w:r>
        <w:t xml:space="preserve">Приватизация муниципального имущества может рассматриваться в 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left="740"/>
        <w:jc w:val="both"/>
      </w:pPr>
      <w:r>
        <w:t>отношении:</w:t>
      </w:r>
    </w:p>
    <w:p w:rsidR="00382DE1" w:rsidRDefault="00382DE1" w:rsidP="00E32CAF">
      <w:pPr>
        <w:pStyle w:val="20"/>
        <w:numPr>
          <w:ilvl w:val="0"/>
          <w:numId w:val="6"/>
        </w:numPr>
        <w:shd w:val="clear" w:color="auto" w:fill="auto"/>
        <w:tabs>
          <w:tab w:val="left" w:pos="1076"/>
        </w:tabs>
        <w:spacing w:before="0" w:line="240" w:lineRule="auto"/>
        <w:ind w:firstLine="740"/>
        <w:jc w:val="both"/>
      </w:pPr>
      <w:r>
        <w:t>имущественных комплексов муниципальных унитарных предприятий с учетом особенностей приватизации, изложенных в главе V Федерального закона от 21.12.2001 № 178-ФЗ «О приватизации государственного и муниципального имущества» (далее - Федеральный закон № 178-ФЗ);</w:t>
      </w:r>
    </w:p>
    <w:p w:rsidR="00382DE1" w:rsidRDefault="00382DE1" w:rsidP="00E32CAF">
      <w:pPr>
        <w:pStyle w:val="20"/>
        <w:numPr>
          <w:ilvl w:val="0"/>
          <w:numId w:val="6"/>
        </w:numPr>
        <w:shd w:val="clear" w:color="auto" w:fill="auto"/>
        <w:tabs>
          <w:tab w:val="left" w:pos="1076"/>
        </w:tabs>
        <w:spacing w:before="0" w:line="240" w:lineRule="auto"/>
        <w:ind w:firstLine="740"/>
        <w:jc w:val="both"/>
      </w:pPr>
      <w:r>
        <w:t>пакетов акций акционерных обществ, находящихся в собственности муниципального района;</w:t>
      </w:r>
    </w:p>
    <w:p w:rsidR="00382DE1" w:rsidRDefault="00382DE1" w:rsidP="00E32CAF">
      <w:pPr>
        <w:pStyle w:val="20"/>
        <w:numPr>
          <w:ilvl w:val="0"/>
          <w:numId w:val="6"/>
        </w:numPr>
        <w:shd w:val="clear" w:color="auto" w:fill="auto"/>
        <w:tabs>
          <w:tab w:val="left" w:pos="1081"/>
        </w:tabs>
        <w:spacing w:before="0" w:line="240" w:lineRule="auto"/>
        <w:ind w:firstLine="740"/>
        <w:jc w:val="both"/>
      </w:pPr>
      <w:r>
        <w:t>нежилых зданий, строений, сооружений, встроенно-пристроенных нежи</w:t>
      </w:r>
      <w:r>
        <w:softHyphen/>
        <w:t>лых помещений, в т.ч. находящихся в аренде и пользовании у юридических и физических лиц;</w:t>
      </w:r>
    </w:p>
    <w:p w:rsidR="00382DE1" w:rsidRDefault="00382DE1" w:rsidP="00E32CAF">
      <w:pPr>
        <w:pStyle w:val="20"/>
        <w:numPr>
          <w:ilvl w:val="0"/>
          <w:numId w:val="6"/>
        </w:numPr>
        <w:shd w:val="clear" w:color="auto" w:fill="auto"/>
        <w:tabs>
          <w:tab w:val="left" w:pos="1106"/>
        </w:tabs>
        <w:spacing w:before="0" w:line="240" w:lineRule="auto"/>
        <w:ind w:firstLine="740"/>
        <w:jc w:val="both"/>
      </w:pPr>
      <w:r>
        <w:t>объектов незавершенного строительства;</w:t>
      </w:r>
    </w:p>
    <w:p w:rsidR="00382DE1" w:rsidRDefault="00382DE1" w:rsidP="00E32CAF">
      <w:pPr>
        <w:pStyle w:val="20"/>
        <w:numPr>
          <w:ilvl w:val="0"/>
          <w:numId w:val="6"/>
        </w:numPr>
        <w:shd w:val="clear" w:color="auto" w:fill="auto"/>
        <w:tabs>
          <w:tab w:val="left" w:pos="1086"/>
        </w:tabs>
        <w:spacing w:before="0" w:line="240" w:lineRule="auto"/>
        <w:ind w:firstLine="740"/>
        <w:jc w:val="both"/>
      </w:pPr>
      <w:r>
        <w:t>движимого имущества, высвобождаемого из хозяйственного ведения муниципальных предприятий и оперативного управления муниципальных учреждений и невостребованного другими муниципальными организациями.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Доходы от приватизации объектов муниципальной собственности поступа</w:t>
      </w:r>
      <w:r>
        <w:softHyphen/>
        <w:t>ют в полном объеме в местный бюджет.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Порядок и условия приватизации муниципального имущества (возмездного отчуждения имущества в собственность физических и юридических лиц) опреде</w:t>
      </w:r>
      <w:r>
        <w:softHyphen/>
        <w:t>ляются нормативными правовыми актами органов местного самоуправления в соответствии с Федеральным законом № 178-ФЗ.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При проверке законности и обоснованности произведенных продаж следует убедиться, в частности, в правильности организации и проведения конкурсов и аукционов по продаже муниципального имущества.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Согласно ст. 8 Федерального закона от 29.07.1998 № 135-ФЗ «Об оценочной деятельности в Российской Федерации» проведение оценки объектов является обязательным для объектов, принадлежащих полностью или частично муниципальному образованию, в том числе при их приватизации, продаже или ином отчуждении.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Необходимо проверить соблюдение порядка оценки стоимости имущества в сделках, связанных с отчуждением муниципального имущества. При необходимости может быть осуществлена экспертиза составленного оценщиком заключения и отчета на предмет обоснованности произведенной оценки, которая должна учитывать все существенные факторы (условия), определяющие цену сделки.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В ходе проверки выполнения продавцом имущества функций контроля вы</w:t>
      </w:r>
      <w:r>
        <w:softHyphen/>
        <w:t>полнения условий договоров купли-продажи следует обратить внимание на сред</w:t>
      </w:r>
      <w:r>
        <w:softHyphen/>
        <w:t>ства внутреннего контроля, применяемые для обеспечения исполнения условий заключенных договоров.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Необходимо проверить: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законность и обоснованность произведенных продаж;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выполнение функций по контролю выполнения условий договоров купли - продажи;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порядок учета средств от продажи муниципального имущества в условиях казначейского исполнения бюджета.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 xml:space="preserve">Проверка полноты и своевременности начисления и перечисления части прибыли, остающейся после уплаты налогов и других обязательных платежей, в доход бюджета </w:t>
      </w:r>
      <w:r w:rsidR="00A9724D">
        <w:t>район</w:t>
      </w:r>
      <w:r>
        <w:t>а: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В процессе проверки необходимо проверить своевременность и полноту перечисления отчислений от прибыли в бюджет, которое осуществляется муниципальными унитарными предприятиями, установлены ли сроки перечисления отчислений от прибыли в бюджет района.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В ходе проверки необходимо проверить порядок определения части прибы</w:t>
      </w:r>
      <w:r>
        <w:softHyphen/>
        <w:t>ли муниципальных унитарных предприятий, перечисляемой в бюджет района.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>При этом необходимо учитывать, что часть прибыли предприятия (прибыли после уплаты налогов и других обязательных платежей), подлежащей отчислению в бюджет района, определяется предприятиями самостоятельно по итогам финансово-хозяйственной деятельности очередного финансового года и согласовывается с администрацией района в установленные сроки.</w:t>
      </w:r>
    </w:p>
    <w:p w:rsidR="00382DE1" w:rsidRDefault="00382DE1" w:rsidP="00E32CAF">
      <w:pPr>
        <w:pStyle w:val="20"/>
        <w:shd w:val="clear" w:color="auto" w:fill="auto"/>
        <w:spacing w:before="0" w:line="240" w:lineRule="auto"/>
        <w:ind w:firstLine="740"/>
        <w:jc w:val="both"/>
      </w:pPr>
      <w:r>
        <w:t xml:space="preserve">Порядок проведения и оформления результатов проверки использования имущества, находящегося в муниципальной собственности, осуществляется в соответствии со стандартом внешнего муниципального финансового контроля «Общие правила проведения контрольных мероприятий Контрольно-счетной палаты, утвержденным </w:t>
      </w:r>
      <w:r w:rsidRPr="00612816">
        <w:t xml:space="preserve">приказом </w:t>
      </w:r>
      <w:r>
        <w:t>председателя Контрольно-счетной палаты</w:t>
      </w:r>
      <w:r w:rsidRPr="00361301">
        <w:t xml:space="preserve"> </w:t>
      </w:r>
      <w:r w:rsidRPr="00612816">
        <w:t>Председателя  Контрольно-счётной палаты муниципального района «</w:t>
      </w:r>
      <w:r>
        <w:t>Могойтуйский район</w:t>
      </w:r>
      <w:r w:rsidRPr="00612816">
        <w:t xml:space="preserve">» от </w:t>
      </w:r>
      <w:r>
        <w:t>22.11.2016</w:t>
      </w:r>
      <w:r w:rsidRPr="00612816">
        <w:t xml:space="preserve"> г. № </w:t>
      </w:r>
      <w:r w:rsidRPr="00A232F2">
        <w:t>11</w:t>
      </w:r>
      <w:r>
        <w:t xml:space="preserve">. </w:t>
      </w:r>
    </w:p>
    <w:p w:rsidR="009444F2" w:rsidRDefault="009444F2" w:rsidP="00E32CAF">
      <w:pPr>
        <w:jc w:val="both"/>
      </w:pPr>
    </w:p>
    <w:sectPr w:rsidR="009444F2" w:rsidSect="009444F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8F6" w:rsidRDefault="00D528F6" w:rsidP="00D528F6">
      <w:r>
        <w:separator/>
      </w:r>
    </w:p>
  </w:endnote>
  <w:endnote w:type="continuationSeparator" w:id="0">
    <w:p w:rsidR="00D528F6" w:rsidRDefault="00D528F6" w:rsidP="00D52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26976"/>
      <w:docPartObj>
        <w:docPartGallery w:val="Page Numbers (Bottom of Page)"/>
        <w:docPartUnique/>
      </w:docPartObj>
    </w:sdtPr>
    <w:sdtContent>
      <w:p w:rsidR="00D528F6" w:rsidRDefault="00067AA0">
        <w:pPr>
          <w:pStyle w:val="a5"/>
          <w:jc w:val="center"/>
        </w:pPr>
        <w:fldSimple w:instr=" PAGE   \* MERGEFORMAT ">
          <w:r w:rsidR="00A9724D">
            <w:rPr>
              <w:noProof/>
            </w:rPr>
            <w:t>1</w:t>
          </w:r>
        </w:fldSimple>
      </w:p>
    </w:sdtContent>
  </w:sdt>
  <w:p w:rsidR="00D528F6" w:rsidRDefault="00D528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8F6" w:rsidRDefault="00D528F6" w:rsidP="00D528F6">
      <w:r>
        <w:separator/>
      </w:r>
    </w:p>
  </w:footnote>
  <w:footnote w:type="continuationSeparator" w:id="0">
    <w:p w:rsidR="00D528F6" w:rsidRDefault="00D528F6" w:rsidP="00D528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149A9"/>
    <w:multiLevelType w:val="multilevel"/>
    <w:tmpl w:val="4E4E8A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C16F5A"/>
    <w:multiLevelType w:val="multilevel"/>
    <w:tmpl w:val="95F8EF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426109"/>
    <w:multiLevelType w:val="multilevel"/>
    <w:tmpl w:val="E6A617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E21BAE"/>
    <w:multiLevelType w:val="multilevel"/>
    <w:tmpl w:val="2E74A3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0C59E7"/>
    <w:multiLevelType w:val="multilevel"/>
    <w:tmpl w:val="64F68F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CE012C"/>
    <w:multiLevelType w:val="multilevel"/>
    <w:tmpl w:val="4C4464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82DE1"/>
    <w:rsid w:val="00050407"/>
    <w:rsid w:val="00062408"/>
    <w:rsid w:val="00067AA0"/>
    <w:rsid w:val="00085A23"/>
    <w:rsid w:val="0012247F"/>
    <w:rsid w:val="00180A2A"/>
    <w:rsid w:val="001A1CFD"/>
    <w:rsid w:val="001D2F33"/>
    <w:rsid w:val="001F59A4"/>
    <w:rsid w:val="00215131"/>
    <w:rsid w:val="0022291E"/>
    <w:rsid w:val="00263FC7"/>
    <w:rsid w:val="00276493"/>
    <w:rsid w:val="002D6B52"/>
    <w:rsid w:val="002E3443"/>
    <w:rsid w:val="002F487D"/>
    <w:rsid w:val="00300E4A"/>
    <w:rsid w:val="00380BCE"/>
    <w:rsid w:val="00382DE1"/>
    <w:rsid w:val="003A2476"/>
    <w:rsid w:val="003B4591"/>
    <w:rsid w:val="003F252C"/>
    <w:rsid w:val="00412243"/>
    <w:rsid w:val="0041387C"/>
    <w:rsid w:val="004A7D06"/>
    <w:rsid w:val="004C3761"/>
    <w:rsid w:val="005542E3"/>
    <w:rsid w:val="00611B17"/>
    <w:rsid w:val="00626664"/>
    <w:rsid w:val="00650A6C"/>
    <w:rsid w:val="00652987"/>
    <w:rsid w:val="00671384"/>
    <w:rsid w:val="006C647F"/>
    <w:rsid w:val="006D3474"/>
    <w:rsid w:val="00703332"/>
    <w:rsid w:val="0071033A"/>
    <w:rsid w:val="007249DE"/>
    <w:rsid w:val="00746FA8"/>
    <w:rsid w:val="007D6DA5"/>
    <w:rsid w:val="00866CAA"/>
    <w:rsid w:val="008A3263"/>
    <w:rsid w:val="008E7C77"/>
    <w:rsid w:val="008F4C11"/>
    <w:rsid w:val="00903511"/>
    <w:rsid w:val="009065D7"/>
    <w:rsid w:val="00906C22"/>
    <w:rsid w:val="009444F2"/>
    <w:rsid w:val="00A01DA4"/>
    <w:rsid w:val="00A34F9C"/>
    <w:rsid w:val="00A46772"/>
    <w:rsid w:val="00A6075E"/>
    <w:rsid w:val="00A9724D"/>
    <w:rsid w:val="00AD4FDF"/>
    <w:rsid w:val="00AE267F"/>
    <w:rsid w:val="00B243F1"/>
    <w:rsid w:val="00B36E32"/>
    <w:rsid w:val="00B55334"/>
    <w:rsid w:val="00B7168D"/>
    <w:rsid w:val="00BA0951"/>
    <w:rsid w:val="00C07AF3"/>
    <w:rsid w:val="00C960B3"/>
    <w:rsid w:val="00CA2A34"/>
    <w:rsid w:val="00CB2B3F"/>
    <w:rsid w:val="00CD19B8"/>
    <w:rsid w:val="00D1130C"/>
    <w:rsid w:val="00D35C41"/>
    <w:rsid w:val="00D368AC"/>
    <w:rsid w:val="00D528F6"/>
    <w:rsid w:val="00D5304A"/>
    <w:rsid w:val="00D67993"/>
    <w:rsid w:val="00D81080"/>
    <w:rsid w:val="00DF5A1B"/>
    <w:rsid w:val="00E03EE6"/>
    <w:rsid w:val="00E32CAF"/>
    <w:rsid w:val="00E879C9"/>
    <w:rsid w:val="00E92979"/>
    <w:rsid w:val="00E929A0"/>
    <w:rsid w:val="00EB5EC8"/>
    <w:rsid w:val="00F26AE5"/>
    <w:rsid w:val="00F645DF"/>
    <w:rsid w:val="00F655DE"/>
    <w:rsid w:val="00F75E69"/>
    <w:rsid w:val="00F912B5"/>
    <w:rsid w:val="00FA29B2"/>
    <w:rsid w:val="00FD5DEC"/>
    <w:rsid w:val="00FF2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2D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DE1"/>
    <w:pPr>
      <w:keepNext/>
      <w:keepLines/>
      <w:widowControl/>
      <w:autoSpaceDE/>
      <w:autoSpaceDN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82DE1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2">
    <w:name w:val="Основной текст (2)_"/>
    <w:basedOn w:val="a0"/>
    <w:link w:val="20"/>
    <w:rsid w:val="00382D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2DE1"/>
    <w:pPr>
      <w:shd w:val="clear" w:color="auto" w:fill="FFFFFF"/>
      <w:autoSpaceDE/>
      <w:autoSpaceDN/>
      <w:spacing w:before="6540" w:line="384" w:lineRule="exact"/>
    </w:pPr>
    <w:rPr>
      <w:sz w:val="28"/>
      <w:szCs w:val="28"/>
    </w:rPr>
  </w:style>
  <w:style w:type="character" w:customStyle="1" w:styleId="5">
    <w:name w:val="Основной текст (5)_"/>
    <w:basedOn w:val="a0"/>
    <w:link w:val="50"/>
    <w:rsid w:val="00382D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82DE1"/>
    <w:pPr>
      <w:shd w:val="clear" w:color="auto" w:fill="FFFFFF"/>
      <w:autoSpaceDE/>
      <w:autoSpaceDN/>
      <w:spacing w:after="900" w:line="0" w:lineRule="atLeast"/>
    </w:pPr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D528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28F6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D528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28F6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4294951480</TotalTime>
  <Pages>11</Pages>
  <Words>3283</Words>
  <Characters>18716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2025-02-07T01:21:00Z</cp:lastPrinted>
  <dcterms:created xsi:type="dcterms:W3CDTF">2025-02-07T00:58:00Z</dcterms:created>
  <dcterms:modified xsi:type="dcterms:W3CDTF">2025-02-07T00:05:00Z</dcterms:modified>
</cp:coreProperties>
</file>